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shd w:fill="1B2838" w:val="clear"/>
            <w:tcMar>
              <w:top w:type="dxa" w:w="200"/>
              <w:left w:type="dxa" w:w="200"/>
              <w:bottom w:type="dxa" w:w="200"/>
              <w:right w:type="dxa" w:w="200"/>
            </w:tcMar>
          </w:tcPr>
          <w:p>
            <w:pPr>
              <w:spacing w:after="40" w:before="0"/>
            </w:pPr>
            <w:r>
              <w:rPr>
                <w:rFonts w:ascii="IBM Plex Sans" w:cs="IBM Plex Sans" w:eastAsia="IBM Plex Sans" w:hAnsi="IBM Plex Sans"/>
                <w:b/>
                <w:bCs/>
                <w:color w:val="FFFFFF"/>
                <w:sz w:val="30"/>
                <w:szCs w:val="30"/>
              </w:rPr>
              <w:t xml:space="preserve">HOMELAB</w:t>
            </w:r>
          </w:p>
          <w:p>
            <w:pPr>
              <w:spacing w:after="0" w:before="0"/>
            </w:pPr>
            <w:r>
              <w:rPr>
                <w:rFonts w:ascii="IBM Plex Sans" w:cs="IBM Plex Sans" w:eastAsia="IBM Plex Sans" w:hAnsi="IBM Plex Sans"/>
                <w:color w:val="C9D1D9"/>
                <w:sz w:val="19"/>
                <w:szCs w:val="19"/>
              </w:rPr>
              <w:t xml:space="preserve">Infrastructure auto-hébergée</w:t>
            </w:r>
          </w:p>
        </w:tc>
      </w:tr>
    </w:tbl>
    <w:p>
      <w:pPr>
        <w:spacing w:after="100" w:before="0"/>
      </w:pPr>
    </w:p>
    <w:p>
      <w:pPr>
        <w:spacing w:after="60" w:before="60"/>
      </w:pPr>
      <w:r>
        <w:rPr>
          <w:rFonts w:ascii="IBM Plex Sans" w:cs="IBM Plex Sans" w:eastAsia="IBM Plex Sans" w:hAnsi="IBM Plex Sans"/>
          <w:b/>
          <w:bCs/>
          <w:color w:val="C77D0A"/>
          <w:sz w:val="18"/>
          <w:szCs w:val="18"/>
        </w:rPr>
        <w:t xml:space="preserve">PROCÉDURE TECHNIQUE</w:t>
      </w:r>
    </w:p>
    <w:p>
      <w:pPr>
        <w:spacing w:after="100" w:before="60"/>
      </w:pPr>
      <w:r>
        <w:rPr>
          <w:rFonts w:ascii="IBM Plex Sans" w:cs="IBM Plex Sans" w:eastAsia="IBM Plex Sans" w:hAnsi="IBM Plex Sans"/>
          <w:b/>
          <w:bCs/>
          <w:color w:val="1B2838"/>
          <w:sz w:val="34"/>
          <w:szCs w:val="34"/>
        </w:rPr>
        <w:t xml:space="preserve">Déploiement du serveur DNS interne Technitium</w:t>
      </w:r>
    </w:p>
    <w:p>
      <w:pPr>
        <w:spacing w:after="200" w:before="60"/>
      </w:pPr>
      <w:r>
        <w:rPr>
          <w:rFonts w:ascii="IBM Plex Sans" w:cs="IBM Plex Sans" w:eastAsia="IBM Plex Sans" w:hAnsi="IBM Plex Sans"/>
          <w:i/>
          <w:iCs/>
          <w:color w:val="444444"/>
          <w:sz w:val="21"/>
          <w:szCs w:val="21"/>
        </w:rPr>
        <w:t xml:space="preserve">Mise en place d’un serveur DNS récursif et autoritaire en conteneur LXC, et bascule de la distribution DNS des pools DHCP du pare-feu périmétrique.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8"/>
      </w:tblGrid>
      <w:tr>
        <w:trPr>
          <w:tblHeader/>
        </w:trPr>
        <w:tc>
          <w:tcPr>
            <w:tcW w:type="dxa" w:w="3009"/>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Référence</w:t>
            </w:r>
          </w:p>
        </w:tc>
        <w:tc>
          <w:tcPr>
            <w:tcW w:type="dxa" w:w="3009"/>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Version</w:t>
            </w:r>
          </w:p>
        </w:tc>
        <w:tc>
          <w:tcPr>
            <w:tcW w:type="dxa" w:w="3008"/>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Date d’édition</w:t>
            </w:r>
          </w:p>
        </w:tc>
      </w:tr>
      <w:tr>
        <w:trPr>
          <w:tblHeader w:val="false"/>
        </w:trPr>
        <w:tc>
          <w:tcPr>
            <w:tcW w:type="dxa" w:w="3009"/>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HL-PRC-004</w:t>
            </w:r>
          </w:p>
        </w:tc>
        <w:tc>
          <w:tcPr>
            <w:tcW w:type="dxa" w:w="3009"/>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0.1</w:t>
            </w:r>
          </w:p>
        </w:tc>
        <w:tc>
          <w:tcPr>
            <w:tcW w:type="dxa" w:w="3008"/>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24/08/2026</w:t>
            </w:r>
          </w:p>
        </w:tc>
      </w:tr>
      <w:tr>
        <w:trPr>
          <w:tblHeader w:val="false"/>
        </w:trPr>
        <w:tc>
          <w:tcPr>
            <w:tcW w:type="dxa" w:w="3009"/>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Auteur</w:t>
            </w:r>
          </w:p>
        </w:tc>
        <w:tc>
          <w:tcPr>
            <w:tcW w:type="dxa" w:w="3009"/>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Classification</w:t>
            </w:r>
          </w:p>
        </w:tc>
        <w:tc>
          <w:tcPr>
            <w:tcW w:type="dxa" w:w="3008"/>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Statut</w:t>
            </w:r>
          </w:p>
        </w:tc>
      </w:tr>
      <w:tr>
        <w:trPr>
          <w:tblHeader w:val="false"/>
        </w:trPr>
        <w:tc>
          <w:tcPr>
            <w:tcW w:type="dxa" w:w="3009"/>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Administrateur</w:t>
            </w:r>
          </w:p>
        </w:tc>
        <w:tc>
          <w:tcPr>
            <w:tcW w:type="dxa" w:w="3009"/>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Interne</w:t>
            </w:r>
          </w:p>
        </w:tc>
        <w:tc>
          <w:tcPr>
            <w:tcW w:type="dxa" w:w="3008"/>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Brouillon</w:t>
            </w:r>
          </w:p>
        </w:tc>
      </w:tr>
    </w:tbl>
    <w:p>
      <w:pPr>
        <w:spacing w:after="100" w:before="0"/>
      </w:pPr>
    </w:p>
    <w:p>
      <w:pPr>
        <w:pStyle w:val="Heading2"/>
        <w:spacing w:after="120" w:before="240"/>
      </w:pPr>
      <w:r>
        <w:rPr>
          <w:rFonts w:ascii="IBM Plex Sans" w:cs="IBM Plex Sans" w:eastAsia="IBM Plex Sans" w:hAnsi="IBM Plex Sans"/>
          <w:b/>
          <w:bCs/>
          <w:color w:val="1B2838"/>
          <w:sz w:val="22"/>
          <w:szCs w:val="22"/>
        </w:rPr>
        <w:t xml:space="preserve">Sommaire</w:t>
      </w:r>
    </w:p>
    <w:p>
      <w:pPr>
        <w:spacing w:after="60" w:before="60"/>
      </w:pPr>
      <w:r>
        <w:rPr>
          <w:rFonts w:ascii="IBM Plex Sans" w:cs="IBM Plex Sans" w:eastAsia="IBM Plex Sans" w:hAnsi="IBM Plex Sans"/>
          <w:i/>
          <w:iCs/>
          <w:color w:val="666666"/>
          <w:sz w:val="18"/>
          <w:szCs w:val="18"/>
        </w:rPr>
        <w:t xml:space="preserve">Déploiement du serveur DNS interne Technitium — HL-PRC-004</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1    </w:t>
      </w:r>
      <w:r>
        <w:rPr>
          <w:rFonts w:ascii="IBM Plex Sans" w:cs="IBM Plex Sans" w:eastAsia="IBM Plex Sans" w:hAnsi="IBM Plex Sans"/>
          <w:b/>
          <w:bCs/>
          <w:sz w:val="20"/>
          <w:szCs w:val="20"/>
        </w:rPr>
        <w:t xml:space="preserve">Objet</w:t>
      </w:r>
      <w:r>
        <w:rPr>
          <w:rFonts w:ascii="IBM Plex Sans" w:cs="IBM Plex Sans" w:eastAsia="IBM Plex Sans" w:hAnsi="IBM Plex Sans"/>
          <w:sz w:val="20"/>
          <w:szCs w:val="20"/>
        </w:rPr>
        <w:t xml:space="preserve">	3</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2    </w:t>
      </w:r>
      <w:r>
        <w:rPr>
          <w:rFonts w:ascii="IBM Plex Sans" w:cs="IBM Plex Sans" w:eastAsia="IBM Plex Sans" w:hAnsi="IBM Plex Sans"/>
          <w:b/>
          <w:bCs/>
          <w:sz w:val="20"/>
          <w:szCs w:val="20"/>
        </w:rPr>
        <w:t xml:space="preserve">Périmètre et prérequis</w:t>
      </w:r>
      <w:r>
        <w:rPr>
          <w:rFonts w:ascii="IBM Plex Sans" w:cs="IBM Plex Sans" w:eastAsia="IBM Plex Sans" w:hAnsi="IBM Plex Sans"/>
          <w:sz w:val="20"/>
          <w:szCs w:val="20"/>
        </w:rPr>
        <w:t xml:space="preserve">	3</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3    </w:t>
      </w:r>
      <w:r>
        <w:rPr>
          <w:rFonts w:ascii="IBM Plex Sans" w:cs="IBM Plex Sans" w:eastAsia="IBM Plex Sans" w:hAnsi="IBM Plex Sans"/>
          <w:b/>
          <w:bCs/>
          <w:sz w:val="20"/>
          <w:szCs w:val="20"/>
        </w:rPr>
        <w:t xml:space="preserve">Rôles et responsabilités</w:t>
      </w:r>
      <w:r>
        <w:rPr>
          <w:rFonts w:ascii="IBM Plex Sans" w:cs="IBM Plex Sans" w:eastAsia="IBM Plex Sans" w:hAnsi="IBM Plex Sans"/>
          <w:sz w:val="20"/>
          <w:szCs w:val="20"/>
        </w:rPr>
        <w:t xml:space="preserve">	4</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4    </w:t>
      </w:r>
      <w:r>
        <w:rPr>
          <w:rFonts w:ascii="IBM Plex Sans" w:cs="IBM Plex Sans" w:eastAsia="IBM Plex Sans" w:hAnsi="IBM Plex Sans"/>
          <w:b/>
          <w:bCs/>
          <w:sz w:val="20"/>
          <w:szCs w:val="20"/>
        </w:rPr>
        <w:t xml:space="preserve">Procédure de déploiement</w:t>
      </w:r>
      <w:r>
        <w:rPr>
          <w:rFonts w:ascii="IBM Plex Sans" w:cs="IBM Plex Sans" w:eastAsia="IBM Plex Sans" w:hAnsi="IBM Plex Sans"/>
          <w:sz w:val="20"/>
          <w:szCs w:val="20"/>
        </w:rPr>
        <w:t xml:space="preserve">	4</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5    </w:t>
      </w:r>
      <w:r>
        <w:rPr>
          <w:rFonts w:ascii="IBM Plex Sans" w:cs="IBM Plex Sans" w:eastAsia="IBM Plex Sans" w:hAnsi="IBM Plex Sans"/>
          <w:b/>
          <w:bCs/>
          <w:sz w:val="20"/>
          <w:szCs w:val="20"/>
        </w:rPr>
        <w:t xml:space="preserve">Intégration réseau</w:t>
      </w:r>
      <w:r>
        <w:rPr>
          <w:rFonts w:ascii="IBM Plex Sans" w:cs="IBM Plex Sans" w:eastAsia="IBM Plex Sans" w:hAnsi="IBM Plex Sans"/>
          <w:sz w:val="20"/>
          <w:szCs w:val="20"/>
        </w:rPr>
        <w:t xml:space="preserve">	6</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6    </w:t>
      </w:r>
      <w:r>
        <w:rPr>
          <w:rFonts w:ascii="IBM Plex Sans" w:cs="IBM Plex Sans" w:eastAsia="IBM Plex Sans" w:hAnsi="IBM Plex Sans"/>
          <w:b/>
          <w:bCs/>
          <w:sz w:val="20"/>
          <w:szCs w:val="20"/>
        </w:rPr>
        <w:t xml:space="preserve">Durcissement et sécurité</w:t>
      </w:r>
      <w:r>
        <w:rPr>
          <w:rFonts w:ascii="IBM Plex Sans" w:cs="IBM Plex Sans" w:eastAsia="IBM Plex Sans" w:hAnsi="IBM Plex Sans"/>
          <w:sz w:val="20"/>
          <w:szCs w:val="20"/>
        </w:rPr>
        <w:t xml:space="preserve">	7</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7    </w:t>
      </w:r>
      <w:r>
        <w:rPr>
          <w:rFonts w:ascii="IBM Plex Sans" w:cs="IBM Plex Sans" w:eastAsia="IBM Plex Sans" w:hAnsi="IBM Plex Sans"/>
          <w:b/>
          <w:bCs/>
          <w:sz w:val="20"/>
          <w:szCs w:val="20"/>
        </w:rPr>
        <w:t xml:space="preserve">Vérifications finales</w:t>
      </w:r>
      <w:r>
        <w:rPr>
          <w:rFonts w:ascii="IBM Plex Sans" w:cs="IBM Plex Sans" w:eastAsia="IBM Plex Sans" w:hAnsi="IBM Plex Sans"/>
          <w:sz w:val="20"/>
          <w:szCs w:val="20"/>
        </w:rPr>
        <w:t xml:space="preserve">	8</w:t>
      </w:r>
    </w:p>
    <w:p>
      <w:pPr>
        <w:tabs>
          <w:tab w:val="right" w:pos="9026" w:leader="dot"/>
        </w:tabs>
        <w:spacing w:after="40" w:before="40"/>
        <w:ind w:left="360"/>
      </w:pPr>
      <w:r>
        <w:rPr>
          <w:rFonts w:ascii="IBM Plex Sans" w:cs="IBM Plex Sans" w:eastAsia="IBM Plex Sans" w:hAnsi="IBM Plex Sans"/>
          <w:b/>
          <w:bCs/>
          <w:color w:val="C77D0A"/>
          <w:sz w:val="20"/>
          <w:szCs w:val="20"/>
        </w:rPr>
        <w:t xml:space="preserve">8    </w:t>
      </w:r>
      <w:r>
        <w:rPr>
          <w:rFonts w:ascii="IBM Plex Sans" w:cs="IBM Plex Sans" w:eastAsia="IBM Plex Sans" w:hAnsi="IBM Plex Sans"/>
          <w:b/>
          <w:bCs/>
          <w:sz w:val="20"/>
          <w:szCs w:val="20"/>
        </w:rPr>
        <w:t xml:space="preserve">Références et historique des révisions</w:t>
      </w:r>
      <w:r>
        <w:rPr>
          <w:rFonts w:ascii="IBM Plex Sans" w:cs="IBM Plex Sans" w:eastAsia="IBM Plex Sans" w:hAnsi="IBM Plex Sans"/>
          <w:sz w:val="20"/>
          <w:szCs w:val="20"/>
        </w:rPr>
        <w:t xml:space="preserve">	8</w:t>
      </w:r>
    </w:p>
    <w:p>
      <w:r>
        <w:br w:type="page"/>
      </w:r>
    </w:p>
    <w:p>
      <w:pPr>
        <w:pStyle w:val="Heading1"/>
        <w:spacing w:after="120" w:before="240"/>
      </w:pPr>
      <w:r>
        <w:rPr>
          <w:rFonts w:ascii="IBM Plex Sans" w:cs="IBM Plex Sans" w:eastAsia="IBM Plex Sans" w:hAnsi="IBM Plex Sans"/>
          <w:b/>
          <w:bCs/>
          <w:color w:val="1B2838"/>
          <w:sz w:val="26"/>
          <w:szCs w:val="26"/>
        </w:rPr>
        <w:t xml:space="preserve">1    Objet</w:t>
      </w:r>
    </w:p>
    <w:p>
      <w:pPr>
        <w:spacing w:after="60" w:before="60"/>
      </w:pPr>
      <w:r>
        <w:rPr>
          <w:rFonts w:ascii="IBM Plex Sans" w:cs="IBM Plex Sans" w:eastAsia="IBM Plex Sans" w:hAnsi="IBM Plex Sans"/>
          <w:color w:val="000000"/>
          <w:sz w:val="20"/>
          <w:szCs w:val="20"/>
        </w:rPr>
        <w:t xml:space="preserve">Cette procédure décrit le déploiement d’un serveur DNS interne Technitium en conteneur LXC sur un cluster de virtualisation, ainsi que son intégration au plan d’adressage existant. Elle couvre l’installation, la configuration des zones directes et inverses, le durcissement de la récursion et la bascule progressive des clients depuis le relais DNS du pare-feu.</w:t>
      </w:r>
    </w:p>
    <w:p>
      <w:pPr>
        <w:spacing w:after="60" w:before="60"/>
      </w:pPr>
      <w:r>
        <w:rPr>
          <w:rFonts w:ascii="IBM Plex Sans" w:cs="IBM Plex Sans" w:eastAsia="IBM Plex Sans" w:hAnsi="IBM Plex Sans"/>
          <w:color w:val="000000"/>
          <w:sz w:val="20"/>
          <w:szCs w:val="20"/>
        </w:rPr>
        <w:t xml:space="preserve">L’objectif est de disposer d’une autorité DNS interne unique pour l’ensemble des segments réseau, préalable indispensable à tout déploiement de service nommé, d’infrastructure à clés publiques et d’annuaire.</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C77D0A"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C77D0A"/>
                <w:sz w:val="20"/>
                <w:szCs w:val="20"/>
              </w:rPr>
              <w:t xml:space="preserve">NOTE   </w:t>
            </w:r>
            <w:r>
              <w:rPr>
                <w:rFonts w:ascii="IBM Plex Sans" w:cs="IBM Plex Sans" w:eastAsia="IBM Plex Sans" w:hAnsi="IBM Plex Sans"/>
                <w:color w:val="000000"/>
                <w:sz w:val="20"/>
                <w:szCs w:val="20"/>
              </w:rPr>
              <w:t xml:space="preserve">Le serveur déployé ici constitue un point unique de défaillance tant qu’aucun secondaire n’est mis en place. Cette limite est assumée pour la version initiale et documentée en section 6.</w:t>
            </w:r>
          </w:p>
        </w:tc>
      </w:tr>
    </w:tbl>
    <w:p>
      <w:pPr>
        <w:pStyle w:val="Heading1"/>
        <w:spacing w:after="120" w:before="240"/>
      </w:pPr>
      <w:r>
        <w:rPr>
          <w:rFonts w:ascii="IBM Plex Sans" w:cs="IBM Plex Sans" w:eastAsia="IBM Plex Sans" w:hAnsi="IBM Plex Sans"/>
          <w:b/>
          <w:bCs/>
          <w:color w:val="1B2838"/>
          <w:sz w:val="26"/>
          <w:szCs w:val="26"/>
        </w:rPr>
        <w:t xml:space="preserve">2    Périmètre et prérequis</w:t>
      </w:r>
    </w:p>
    <w:p>
      <w:pPr>
        <w:pStyle w:val="Heading2"/>
        <w:spacing w:after="120" w:before="240"/>
      </w:pPr>
      <w:r>
        <w:rPr>
          <w:rFonts w:ascii="IBM Plex Sans" w:cs="IBM Plex Sans" w:eastAsia="IBM Plex Sans" w:hAnsi="IBM Plex Sans"/>
          <w:b/>
          <w:bCs/>
          <w:color w:val="1B2838"/>
          <w:sz w:val="22"/>
          <w:szCs w:val="22"/>
        </w:rPr>
        <w:t xml:space="preserve">Périmètre</w:t>
      </w:r>
    </w:p>
    <w:p>
      <w:pPr>
        <w:spacing w:after="60" w:before="60"/>
      </w:pPr>
      <w:r>
        <w:rPr>
          <w:rFonts w:ascii="IBM Plex Sans" w:cs="IBM Plex Sans" w:eastAsia="IBM Plex Sans" w:hAnsi="IBM Plex Sans"/>
          <w:color w:val="000000"/>
          <w:sz w:val="20"/>
          <w:szCs w:val="20"/>
        </w:rPr>
        <w:t xml:space="preserve">Couvert : création du conteneur, installation du moteur DNS, création des zones directe et inverses, configuration du mode récursif, restriction de la récursion par liste de contrôle d’accès, création des politiques de sécurité inter-zones nécessaires, bascule des attributs DHCP du pare-feu.</w:t>
      </w:r>
    </w:p>
    <w:p>
      <w:pPr>
        <w:spacing w:after="60" w:before="60"/>
      </w:pPr>
      <w:r>
        <w:rPr>
          <w:rFonts w:ascii="IBM Plex Sans" w:cs="IBM Plex Sans" w:eastAsia="IBM Plex Sans" w:hAnsi="IBM Plex Sans"/>
          <w:color w:val="000000"/>
          <w:sz w:val="20"/>
          <w:szCs w:val="20"/>
        </w:rPr>
        <w:t xml:space="preserve">Non couvert : mise en place d’un serveur secondaire et de la réplication, chiffrement du transport DNS (DoT, DoH, DoQ), listes de blocage, délégation vers un annuaire, supervision.</w:t>
      </w:r>
    </w:p>
    <w:p>
      <w:pPr>
        <w:pStyle w:val="Heading2"/>
        <w:spacing w:after="120" w:before="240"/>
      </w:pPr>
      <w:r>
        <w:rPr>
          <w:rFonts w:ascii="IBM Plex Sans" w:cs="IBM Plex Sans" w:eastAsia="IBM Plex Sans" w:hAnsi="IBM Plex Sans"/>
          <w:b/>
          <w:bCs/>
          <w:color w:val="1B2838"/>
          <w:sz w:val="22"/>
          <w:szCs w:val="22"/>
        </w:rPr>
        <w:t xml:space="preserve">Prérequis</w:t>
      </w:r>
    </w:p>
    <w:p>
      <w:pPr>
        <w:pStyle w:val="ListParagraph"/>
        <w:numPr>
          <w:ilvl w:val="0"/>
          <w:numId w:val="2"/>
        </w:numPr>
        <w:spacing w:after="40" w:before="40"/>
      </w:pPr>
      <w:r>
        <w:rPr>
          <w:rFonts w:ascii="IBM Plex Sans" w:cs="IBM Plex Sans" w:eastAsia="IBM Plex Sans" w:hAnsi="IBM Plex Sans"/>
          <w:sz w:val="20"/>
          <w:szCs w:val="20"/>
        </w:rPr>
        <w:t xml:space="preserve">Cluster de virtualisation opérationnel, quorum atteint, stockage local déclaré et accessible.</w:t>
      </w:r>
    </w:p>
    <w:p>
      <w:pPr>
        <w:pStyle w:val="ListParagraph"/>
        <w:numPr>
          <w:ilvl w:val="0"/>
          <w:numId w:val="2"/>
        </w:numPr>
        <w:spacing w:after="40" w:before="40"/>
      </w:pPr>
      <w:r>
        <w:rPr>
          <w:rFonts w:ascii="IBM Plex Sans" w:cs="IBM Plex Sans" w:eastAsia="IBM Plex Sans" w:hAnsi="IBM Plex Sans"/>
          <w:sz w:val="20"/>
          <w:szCs w:val="20"/>
        </w:rPr>
        <w:t xml:space="preserve">Modèle de conteneur de la distribution cible présent sur le stockage du nœud d’accueil.</w:t>
      </w:r>
    </w:p>
    <w:p>
      <w:pPr>
        <w:pStyle w:val="ListParagraph"/>
        <w:numPr>
          <w:ilvl w:val="0"/>
          <w:numId w:val="2"/>
        </w:numPr>
        <w:spacing w:after="40" w:before="40"/>
      </w:pPr>
      <w:r>
        <w:rPr>
          <w:rFonts w:ascii="IBM Plex Sans" w:cs="IBM Plex Sans" w:eastAsia="IBM Plex Sans" w:hAnsi="IBM Plex Sans"/>
          <w:sz w:val="20"/>
          <w:szCs w:val="20"/>
        </w:rPr>
        <w:t xml:space="preserve">Pont réseau configuré en mode « VLAN aware », segment du serveur autorisé sur le lien montant de l’équipement de commutation.</w:t>
      </w:r>
    </w:p>
    <w:p>
      <w:pPr>
        <w:pStyle w:val="ListParagraph"/>
        <w:numPr>
          <w:ilvl w:val="0"/>
          <w:numId w:val="2"/>
        </w:numPr>
        <w:spacing w:after="40" w:before="40"/>
      </w:pPr>
      <w:r>
        <w:rPr>
          <w:rFonts w:ascii="IBM Plex Sans" w:cs="IBM Plex Sans" w:eastAsia="IBM Plex Sans" w:hAnsi="IBM Plex Sans"/>
          <w:sz w:val="20"/>
          <w:szCs w:val="20"/>
        </w:rPr>
        <w:t xml:space="preserve">Adresse IP statique réservée hors de la plage distribuée par le serveur DHCP.</w:t>
      </w:r>
    </w:p>
    <w:p>
      <w:pPr>
        <w:pStyle w:val="ListParagraph"/>
        <w:numPr>
          <w:ilvl w:val="0"/>
          <w:numId w:val="2"/>
        </w:numPr>
        <w:spacing w:after="40" w:before="40"/>
      </w:pPr>
      <w:r>
        <w:rPr>
          <w:rFonts w:ascii="IBM Plex Sans" w:cs="IBM Plex Sans" w:eastAsia="IBM Plex Sans" w:hAnsi="IBM Plex Sans"/>
          <w:sz w:val="20"/>
          <w:szCs w:val="20"/>
        </w:rPr>
        <w:t xml:space="preserve">Accès administrateur au pare-feu périmétrique pour la modification des politiques et des attributs DHCP.</w:t>
      </w:r>
    </w:p>
    <w:p>
      <w:pPr>
        <w:pStyle w:val="ListParagraph"/>
        <w:numPr>
          <w:ilvl w:val="0"/>
          <w:numId w:val="2"/>
        </w:numPr>
        <w:spacing w:after="40" w:before="40"/>
      </w:pPr>
      <w:r>
        <w:rPr>
          <w:rFonts w:ascii="IBM Plex Sans" w:cs="IBM Plex Sans" w:eastAsia="IBM Plex Sans" w:hAnsi="IBM Plex Sans"/>
          <w:sz w:val="20"/>
          <w:szCs w:val="20"/>
        </w:rPr>
        <w:t xml:space="preserve">Coffre de secrets disponible pour le stockage du mot de passe d’administration.</w:t>
      </w:r>
    </w:p>
    <w:p>
      <w:pPr>
        <w:spacing w:after="100" w:before="0"/>
      </w:pPr>
    </w:p>
    <w:p>
      <w:pPr>
        <w:pStyle w:val="Heading2"/>
        <w:spacing w:after="120" w:before="240"/>
      </w:pPr>
      <w:r>
        <w:rPr>
          <w:rFonts w:ascii="IBM Plex Sans" w:cs="IBM Plex Sans" w:eastAsia="IBM Plex Sans" w:hAnsi="IBM Plex Sans"/>
          <w:b/>
          <w:bCs/>
          <w:color w:val="1B2838"/>
          <w:sz w:val="22"/>
          <w:szCs w:val="22"/>
        </w:rPr>
        <w:t xml:space="preserve">Paramètres</w:t>
      </w:r>
    </w:p>
    <w:p>
      <w:pPr>
        <w:spacing w:after="60" w:before="60"/>
      </w:pPr>
      <w:r>
        <w:rPr>
          <w:rFonts w:ascii="IBM Plex Sans" w:cs="IBM Plex Sans" w:eastAsia="IBM Plex Sans" w:hAnsi="IBM Plex Sans"/>
          <w:i/>
          <w:iCs/>
          <w:color w:val="444444"/>
          <w:sz w:val="19"/>
          <w:szCs w:val="19"/>
        </w:rPr>
        <w:t xml:space="preserve">Toute valeur spécifique à une installation est déclarée ici. Le corps de la procédure référence les paramètres, jamais les valeurs.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200"/>
        <w:gridCol w:w="2200"/>
        <w:gridCol w:w="1726"/>
      </w:tblGrid>
      <w:tr>
        <w:trPr>
          <w:tblHeader/>
        </w:trPr>
        <w:tc>
          <w:tcPr>
            <w:tcW w:type="dxa" w:w="19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Paramètre</w:t>
            </w:r>
          </w:p>
        </w:tc>
        <w:tc>
          <w:tcPr>
            <w:tcW w:type="dxa" w:w="32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Description</w:t>
            </w:r>
          </w:p>
        </w:tc>
        <w:tc>
          <w:tcPr>
            <w:tcW w:type="dxa" w:w="22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Valeur d’exemple</w:t>
            </w:r>
          </w:p>
        </w:tc>
        <w:tc>
          <w:tcPr>
            <w:tcW w:type="dxa" w:w="17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Contrainte</w:t>
            </w:r>
          </w:p>
        </w:tc>
      </w:tr>
      <w:tr>
        <w:trPr>
          <w:tblHeader w:val="false"/>
        </w:trPr>
        <w:tc>
          <w:tcPr>
            <w:tcW w:type="dxa" w:w="19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NODE</w:t>
            </w:r>
          </w:p>
        </w:tc>
        <w:tc>
          <w:tcPr>
            <w:tcW w:type="dxa" w:w="3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Nœud d’accueil du conteneur</w:t>
            </w:r>
          </w:p>
        </w:tc>
        <w:tc>
          <w:tcPr>
            <w:tcW w:type="dxa" w:w="2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pve1</w:t>
            </w:r>
          </w:p>
        </w:tc>
        <w:tc>
          <w:tcPr>
            <w:tcW w:type="dxa" w:w="17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Membre du cluster</w:t>
            </w:r>
          </w:p>
        </w:tc>
      </w:tr>
      <w:tr>
        <w:trPr>
          <w:tblHeader w:val="false"/>
        </w:trPr>
        <w:tc>
          <w:tcPr>
            <w:tcW w:type="dxa" w:w="19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CTID</w:t>
            </w:r>
          </w:p>
        </w:tc>
        <w:tc>
          <w:tcPr>
            <w:tcW w:type="dxa" w:w="3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Identifiant du conteneur</w:t>
            </w:r>
          </w:p>
        </w:tc>
        <w:tc>
          <w:tcPr>
            <w:tcW w:type="dxa" w:w="2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2011</w:t>
            </w:r>
          </w:p>
        </w:tc>
        <w:tc>
          <w:tcPr>
            <w:tcW w:type="dxa" w:w="17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Unique sur le cluster</w:t>
            </w:r>
          </w:p>
        </w:tc>
      </w:tr>
      <w:tr>
        <w:trPr>
          <w:tblHeader w:val="false"/>
        </w:trPr>
        <w:tc>
          <w:tcPr>
            <w:tcW w:type="dxa" w:w="19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HOSTNAME</w:t>
            </w:r>
          </w:p>
        </w:tc>
        <w:tc>
          <w:tcPr>
            <w:tcW w:type="dxa" w:w="3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Nom court du conteneur</w:t>
            </w:r>
          </w:p>
        </w:tc>
        <w:tc>
          <w:tcPr>
            <w:tcW w:type="dxa" w:w="2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technitium</w:t>
            </w:r>
          </w:p>
        </w:tc>
        <w:tc>
          <w:tcPr>
            <w:tcW w:type="dxa" w:w="17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Sans point</w:t>
            </w:r>
          </w:p>
        </w:tc>
      </w:tr>
      <w:tr>
        <w:trPr>
          <w:tblHeader w:val="false"/>
        </w:trPr>
        <w:tc>
          <w:tcPr>
            <w:tcW w:type="dxa" w:w="19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FQDN</w:t>
            </w:r>
          </w:p>
        </w:tc>
        <w:tc>
          <w:tcPr>
            <w:tcW w:type="dxa" w:w="3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Nom pleinement qualifié</w:t>
            </w:r>
          </w:p>
        </w:tc>
        <w:tc>
          <w:tcPr>
            <w:tcW w:type="dxa" w:w="2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technitium.srv.dozylab.lan</w:t>
            </w:r>
          </w:p>
        </w:tc>
        <w:tc>
          <w:tcPr>
            <w:tcW w:type="dxa" w:w="17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Zone = VLAN de gestion</w:t>
            </w:r>
          </w:p>
        </w:tc>
      </w:tr>
      <w:tr>
        <w:trPr>
          <w:tblHeader w:val="false"/>
        </w:trPr>
        <w:tc>
          <w:tcPr>
            <w:tcW w:type="dxa" w:w="19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DNS_IP</w:t>
            </w:r>
          </w:p>
        </w:tc>
        <w:tc>
          <w:tcPr>
            <w:tcW w:type="dxa" w:w="3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Adresse du serveur DNS</w:t>
            </w:r>
          </w:p>
        </w:tc>
        <w:tc>
          <w:tcPr>
            <w:tcW w:type="dxa" w:w="2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10.10.20.11/24</w:t>
            </w:r>
          </w:p>
        </w:tc>
        <w:tc>
          <w:tcPr>
            <w:tcW w:type="dxa" w:w="17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Statique, hors pool DHCP</w:t>
            </w:r>
          </w:p>
        </w:tc>
      </w:tr>
      <w:tr>
        <w:trPr>
          <w:tblHeader w:val="false"/>
        </w:trPr>
        <w:tc>
          <w:tcPr>
            <w:tcW w:type="dxa" w:w="19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GW</w:t>
            </w:r>
          </w:p>
        </w:tc>
        <w:tc>
          <w:tcPr>
            <w:tcW w:type="dxa" w:w="3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Passerelle du segment</w:t>
            </w:r>
          </w:p>
        </w:tc>
        <w:tc>
          <w:tcPr>
            <w:tcW w:type="dxa" w:w="2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10.10.20.254</w:t>
            </w:r>
          </w:p>
        </w:tc>
        <w:tc>
          <w:tcPr>
            <w:tcW w:type="dxa" w:w="17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Interface du pare-feu</w:t>
            </w:r>
          </w:p>
        </w:tc>
      </w:tr>
      <w:tr>
        <w:trPr>
          <w:tblHeader w:val="false"/>
        </w:trPr>
        <w:tc>
          <w:tcPr>
            <w:tcW w:type="dxa" w:w="19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VLAN_TAG</w:t>
            </w:r>
          </w:p>
        </w:tc>
        <w:tc>
          <w:tcPr>
            <w:tcW w:type="dxa" w:w="3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Étiquette 802.1Q</w:t>
            </w:r>
          </w:p>
        </w:tc>
        <w:tc>
          <w:tcPr>
            <w:tcW w:type="dxa" w:w="2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20</w:t>
            </w:r>
          </w:p>
        </w:tc>
        <w:tc>
          <w:tcPr>
            <w:tcW w:type="dxa" w:w="17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Autorisée sur le trunk</w:t>
            </w:r>
          </w:p>
        </w:tc>
      </w:tr>
      <w:tr>
        <w:trPr>
          <w:tblHeader w:val="false"/>
        </w:trPr>
        <w:tc>
          <w:tcPr>
            <w:tcW w:type="dxa" w:w="19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DOMAIN</w:t>
            </w:r>
          </w:p>
        </w:tc>
        <w:tc>
          <w:tcPr>
            <w:tcW w:type="dxa" w:w="3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Domaine interne</w:t>
            </w:r>
          </w:p>
        </w:tc>
        <w:tc>
          <w:tcPr>
            <w:tcW w:type="dxa" w:w="2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dozylab.lan</w:t>
            </w:r>
          </w:p>
        </w:tc>
        <w:tc>
          <w:tcPr>
            <w:tcW w:type="dxa" w:w="17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Zone primaire</w:t>
            </w:r>
          </w:p>
        </w:tc>
      </w:tr>
      <w:tr>
        <w:trPr>
          <w:tblHeader w:val="false"/>
        </w:trPr>
        <w:tc>
          <w:tcPr>
            <w:tcW w:type="dxa" w:w="19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ACL_NET</w:t>
            </w:r>
          </w:p>
        </w:tc>
        <w:tc>
          <w:tcPr>
            <w:tcW w:type="dxa" w:w="3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Réseaux autorisés à la récursion</w:t>
            </w:r>
          </w:p>
        </w:tc>
        <w:tc>
          <w:tcPr>
            <w:tcW w:type="dxa" w:w="2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10.10.0.0/16</w:t>
            </w:r>
          </w:p>
        </w:tc>
        <w:tc>
          <w:tcPr>
            <w:tcW w:type="dxa" w:w="17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Jamais 0.0.0.0/0</w:t>
            </w:r>
          </w:p>
        </w:tc>
      </w:tr>
      <w:tr>
        <w:trPr>
          <w:tblHeader w:val="false"/>
        </w:trPr>
        <w:tc>
          <w:tcPr>
            <w:tcW w:type="dxa" w:w="19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ADMIN_PW</w:t>
            </w:r>
          </w:p>
        </w:tc>
        <w:tc>
          <w:tcPr>
            <w:tcW w:type="dxa" w:w="3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Mot de passe d’administration</w:t>
            </w:r>
          </w:p>
        </w:tc>
        <w:tc>
          <w:tcPr>
            <w:tcW w:type="dxa" w:w="2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&lt;mot_de_passe&gt;</w:t>
            </w:r>
          </w:p>
        </w:tc>
        <w:tc>
          <w:tcPr>
            <w:tcW w:type="dxa" w:w="17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Coffre de secrets</w:t>
            </w:r>
          </w:p>
        </w:tc>
      </w:tr>
    </w:tbl>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B3261E"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B3261E"/>
                <w:sz w:val="20"/>
                <w:szCs w:val="20"/>
              </w:rPr>
              <w:t xml:space="preserve">ATTENTION   </w:t>
            </w:r>
            <w:r>
              <w:rPr>
                <w:rFonts w:ascii="IBM Plex Sans" w:cs="IBM Plex Sans" w:eastAsia="IBM Plex Sans" w:hAnsi="IBM Plex Sans"/>
                <w:color w:val="000000"/>
                <w:sz w:val="20"/>
                <w:szCs w:val="20"/>
              </w:rPr>
              <w:t xml:space="preserve">L’adresse DNS_IP est diffusée à l’ensemble des clients par le serveur DHCP. Toute modification ultérieure impose une reconfiguration de tous les pools et le renouvellement des baux.</w:t>
            </w:r>
          </w:p>
        </w:tc>
      </w:tr>
    </w:tbl>
    <w:p>
      <w:pPr>
        <w:pStyle w:val="Heading1"/>
        <w:spacing w:after="120" w:before="240"/>
      </w:pPr>
      <w:r>
        <w:rPr>
          <w:rFonts w:ascii="IBM Plex Sans" w:cs="IBM Plex Sans" w:eastAsia="IBM Plex Sans" w:hAnsi="IBM Plex Sans"/>
          <w:b/>
          <w:bCs/>
          <w:color w:val="1B2838"/>
          <w:sz w:val="26"/>
          <w:szCs w:val="26"/>
        </w:rPr>
        <w:t xml:space="preserve">3    Rôles et responsabilités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Rôle</w:t>
            </w:r>
          </w:p>
        </w:tc>
        <w:tc>
          <w:tcPr>
            <w:tcW w:type="dxa" w:w="64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Responsabilité</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Administrateur virtualisation</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Création du conteneur, allocation des ressources, gestion des instantanés et des sauvegardes.</w:t>
            </w:r>
          </w:p>
        </w:tc>
      </w:tr>
      <w:tr>
        <w:trPr>
          <w:tblHeader w:val="false"/>
        </w:trPr>
        <w:tc>
          <w:tcPr>
            <w:tcW w:type="dxa" w:w="26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Administrateur réseau</w:t>
            </w:r>
          </w:p>
        </w:tc>
        <w:tc>
          <w:tcPr>
            <w:tcW w:type="dxa" w:w="6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Création des politiques inter-zones, modification des attributs DHCP, vérification du transport des étiquettes VLAN.</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Administrateur système</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Installation du moteur DNS, configuration des zones et des enregistrements, durcissement.</w:t>
            </w:r>
          </w:p>
        </w:tc>
      </w:tr>
      <w:tr>
        <w:trPr>
          <w:tblHeader w:val="false"/>
        </w:trPr>
        <w:tc>
          <w:tcPr>
            <w:tcW w:type="dxa" w:w="26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Opérateur</w:t>
            </w:r>
          </w:p>
        </w:tc>
        <w:tc>
          <w:tcPr>
            <w:tcW w:type="dxa" w:w="6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Exécution des contrôles de la section 7, remontée des anomalies.</w:t>
            </w:r>
          </w:p>
        </w:tc>
      </w:tr>
    </w:tbl>
    <w:p>
      <w:r>
        <w:br w:type="page"/>
      </w:r>
    </w:p>
    <w:p>
      <w:pPr>
        <w:pStyle w:val="Heading1"/>
        <w:spacing w:after="120" w:before="240"/>
      </w:pPr>
      <w:r>
        <w:rPr>
          <w:rFonts w:ascii="IBM Plex Sans" w:cs="IBM Plex Sans" w:eastAsia="IBM Plex Sans" w:hAnsi="IBM Plex Sans"/>
          <w:b/>
          <w:bCs/>
          <w:color w:val="1B2838"/>
          <w:sz w:val="26"/>
          <w:szCs w:val="26"/>
        </w:rPr>
        <w:t xml:space="preserve">4    Procédure de déploiement</w:t>
      </w:r>
    </w:p>
    <w:p>
      <w:pPr>
        <w:spacing w:after="60" w:before="180"/>
      </w:pPr>
      <w:r>
        <w:rPr>
          <w:rFonts w:ascii="IBM Plex Sans" w:cs="IBM Plex Sans" w:eastAsia="IBM Plex Sans" w:hAnsi="IBM Plex Sans"/>
          <w:b/>
          <w:bCs/>
          <w:color w:val="1B2838"/>
          <w:sz w:val="20"/>
          <w:szCs w:val="20"/>
        </w:rPr>
        <w:t xml:space="preserve">1.   Création du conteneur</w:t>
      </w:r>
    </w:p>
    <w:p>
      <w:pPr>
        <w:spacing w:after="60" w:before="60"/>
      </w:pPr>
      <w:r>
        <w:rPr>
          <w:rFonts w:ascii="IBM Plex Sans" w:cs="IBM Plex Sans" w:eastAsia="IBM Plex Sans" w:hAnsi="IBM Plex Sans"/>
          <w:color w:val="000000"/>
          <w:sz w:val="20"/>
          <w:szCs w:val="20"/>
        </w:rPr>
        <w:t xml:space="preserve">Le conteneur est créé en mode non privilégié. L’option d’imbrication est requise pour que le gestionnaire de services fonctionne correctement dans cet environnement.</w:t>
      </w:r>
    </w:p>
    <w:p>
      <w:pPr>
        <w:shd w:fill="F2F3F5" w:val="clear"/>
        <w:spacing w:after="0" w:before="100"/>
      </w:pPr>
      <w:r>
        <w:rPr>
          <w:rFonts w:ascii="IBM Plex Mono" w:cs="IBM Plex Mono" w:eastAsia="IBM Plex Mono" w:hAnsi="IBM Plex Mono"/>
          <w:color w:val="1B2838"/>
          <w:sz w:val="17"/>
          <w:szCs w:val="17"/>
        </w:rPr>
        <w:t xml:space="preserve">pct create &lt;CTID&gt; local:vztmpl/&lt;TEMPLATE&gt; \</w:t>
      </w:r>
    </w:p>
    <w:p>
      <w:pPr>
        <w:shd w:fill="F2F3F5" w:val="clear"/>
        <w:spacing w:after="0" w:before="0"/>
      </w:pPr>
      <w:r>
        <w:rPr>
          <w:rFonts w:ascii="IBM Plex Mono" w:cs="IBM Plex Mono" w:eastAsia="IBM Plex Mono" w:hAnsi="IBM Plex Mono"/>
          <w:color w:val="1B2838"/>
          <w:sz w:val="17"/>
          <w:szCs w:val="17"/>
        </w:rPr>
        <w:t xml:space="preserve">  --hostname &lt;HOSTNAME&gt; \</w:t>
      </w:r>
    </w:p>
    <w:p>
      <w:pPr>
        <w:shd w:fill="F2F3F5" w:val="clear"/>
        <w:spacing w:after="0" w:before="0"/>
      </w:pPr>
      <w:r>
        <w:rPr>
          <w:rFonts w:ascii="IBM Plex Mono" w:cs="IBM Plex Mono" w:eastAsia="IBM Plex Mono" w:hAnsi="IBM Plex Mono"/>
          <w:color w:val="1B2838"/>
          <w:sz w:val="17"/>
          <w:szCs w:val="17"/>
        </w:rPr>
        <w:t xml:space="preserve">  --cores 1 --memory 1024 --swap 512 \</w:t>
      </w:r>
    </w:p>
    <w:p>
      <w:pPr>
        <w:shd w:fill="F2F3F5" w:val="clear"/>
        <w:spacing w:after="0" w:before="0"/>
      </w:pPr>
      <w:r>
        <w:rPr>
          <w:rFonts w:ascii="IBM Plex Mono" w:cs="IBM Plex Mono" w:eastAsia="IBM Plex Mono" w:hAnsi="IBM Plex Mono"/>
          <w:color w:val="1B2838"/>
          <w:sz w:val="17"/>
          <w:szCs w:val="17"/>
        </w:rPr>
        <w:t xml:space="preserve">  --rootfs local-lvm:8 \</w:t>
      </w:r>
    </w:p>
    <w:p>
      <w:pPr>
        <w:shd w:fill="F2F3F5" w:val="clear"/>
        <w:spacing w:after="0" w:before="0"/>
      </w:pPr>
      <w:r>
        <w:rPr>
          <w:rFonts w:ascii="IBM Plex Mono" w:cs="IBM Plex Mono" w:eastAsia="IBM Plex Mono" w:hAnsi="IBM Plex Mono"/>
          <w:color w:val="1B2838"/>
          <w:sz w:val="17"/>
          <w:szCs w:val="17"/>
        </w:rPr>
        <w:t xml:space="preserve">  --net0 name=eth0,bridge=vmbr0,tag=&lt;VLAN_TAG&gt;,ip=&lt;DNS_IP&gt;,gw=&lt;GW&gt; \</w:t>
      </w:r>
    </w:p>
    <w:p>
      <w:pPr>
        <w:shd w:fill="F2F3F5" w:val="clear"/>
        <w:spacing w:after="0" w:before="0"/>
      </w:pPr>
      <w:r>
        <w:rPr>
          <w:rFonts w:ascii="IBM Plex Mono" w:cs="IBM Plex Mono" w:eastAsia="IBM Plex Mono" w:hAnsi="IBM Plex Mono"/>
          <w:color w:val="1B2838"/>
          <w:sz w:val="17"/>
          <w:szCs w:val="17"/>
        </w:rPr>
        <w:t xml:space="preserve">  --nameserver &lt;GW&gt; \</w:t>
      </w:r>
    </w:p>
    <w:p>
      <w:pPr>
        <w:shd w:fill="F2F3F5" w:val="clear"/>
        <w:spacing w:after="0" w:before="0"/>
      </w:pPr>
      <w:r>
        <w:rPr>
          <w:rFonts w:ascii="IBM Plex Mono" w:cs="IBM Plex Mono" w:eastAsia="IBM Plex Mono" w:hAnsi="IBM Plex Mono"/>
          <w:color w:val="1B2838"/>
          <w:sz w:val="17"/>
          <w:szCs w:val="17"/>
        </w:rPr>
        <w:t xml:space="preserve">  --unprivileged 1 --features nesting=1 \</w:t>
      </w:r>
    </w:p>
    <w:p>
      <w:pPr>
        <w:shd w:fill="F2F3F5" w:val="clear"/>
        <w:spacing w:after="100" w:before="0"/>
      </w:pPr>
      <w:r>
        <w:rPr>
          <w:rFonts w:ascii="IBM Plex Mono" w:cs="IBM Plex Mono" w:eastAsia="IBM Plex Mono" w:hAnsi="IBM Plex Mono"/>
          <w:color w:val="1B2838"/>
          <w:sz w:val="17"/>
          <w:szCs w:val="17"/>
        </w:rPr>
        <w:t xml:space="preserve">  --onboot 1 --startup order=2</w:t>
      </w:r>
    </w:p>
    <w:p>
      <w:pPr>
        <w:spacing w:after="60" w:before="60"/>
      </w:pPr>
      <w:r>
        <w:rPr>
          <w:rFonts w:ascii="IBM Plex Sans" w:cs="IBM Plex Sans" w:eastAsia="IBM Plex Sans" w:hAnsi="IBM Plex Sans"/>
          <w:color w:val="000000"/>
          <w:sz w:val="20"/>
          <w:szCs w:val="20"/>
        </w:rPr>
        <w:t xml:space="preserve">Le paramètre de résolution pointe temporairement la passerelle : le serveur ne peut pas se résoudre lui-même avant d’être installé.</w:t>
      </w:r>
    </w:p>
    <w:p>
      <w:pPr>
        <w:spacing w:after="60" w:before="60"/>
      </w:pPr>
      <w:r>
        <w:rPr>
          <w:rFonts w:ascii="IBM Plex Sans" w:cs="IBM Plex Sans" w:eastAsia="IBM Plex Sans" w:hAnsi="IBM Plex Sans"/>
          <w:color w:val="000000"/>
          <w:sz w:val="20"/>
          <w:szCs w:val="20"/>
        </w:rPr>
        <w:t xml:space="preserve">Vérification : la commande de création se termine sans erreur et le fichier de configuration du conteneur existe.</w:t>
      </w:r>
    </w:p>
    <w:p>
      <w:pPr>
        <w:spacing w:after="60" w:before="180"/>
      </w:pPr>
      <w:r>
        <w:rPr>
          <w:rFonts w:ascii="IBM Plex Sans" w:cs="IBM Plex Sans" w:eastAsia="IBM Plex Sans" w:hAnsi="IBM Plex Sans"/>
          <w:b/>
          <w:bCs/>
          <w:color w:val="1B2838"/>
          <w:sz w:val="20"/>
          <w:szCs w:val="20"/>
        </w:rPr>
        <w:t xml:space="preserve">2.   Préparation du système</w:t>
      </w:r>
    </w:p>
    <w:p>
      <w:pPr>
        <w:shd w:fill="F2F3F5" w:val="clear"/>
        <w:spacing w:after="0" w:before="100"/>
      </w:pPr>
      <w:r>
        <w:rPr>
          <w:rFonts w:ascii="IBM Plex Mono" w:cs="IBM Plex Mono" w:eastAsia="IBM Plex Mono" w:hAnsi="IBM Plex Mono"/>
          <w:color w:val="1B2838"/>
          <w:sz w:val="17"/>
          <w:szCs w:val="17"/>
        </w:rPr>
        <w:t xml:space="preserve">pct start &lt;CTID&gt;</w:t>
      </w:r>
    </w:p>
    <w:p>
      <w:pPr>
        <w:shd w:fill="F2F3F5" w:val="clear"/>
        <w:spacing w:after="0" w:before="0"/>
      </w:pPr>
      <w:r>
        <w:rPr>
          <w:rFonts w:ascii="IBM Plex Mono" w:cs="IBM Plex Mono" w:eastAsia="IBM Plex Mono" w:hAnsi="IBM Plex Mono"/>
          <w:color w:val="1B2838"/>
          <w:sz w:val="17"/>
          <w:szCs w:val="17"/>
        </w:rPr>
        <w:t xml:space="preserve">pct enter &lt;CTID&gt;</w:t>
      </w:r>
    </w:p>
    <w:p>
      <w:pPr>
        <w:shd w:fill="F2F3F5" w:val="clear"/>
        <w:spacing w:after="0" w:before="0"/>
      </w:pPr>
      <w:r>
        <w:rPr>
          <w:rFonts w:ascii="IBM Plex Mono" w:cs="IBM Plex Mono" w:eastAsia="IBM Plex Mono" w:hAnsi="IBM Plex Mono"/>
          <w:color w:val="1B2838"/>
          <w:sz w:val="17"/>
          <w:szCs w:val="17"/>
        </w:rPr>
        <w:t xml:space="preserve">apt update &amp;&amp; apt full-upgrade -y</w:t>
      </w:r>
    </w:p>
    <w:p>
      <w:pPr>
        <w:shd w:fill="F2F3F5" w:val="clear"/>
        <w:spacing w:after="100" w:before="0"/>
      </w:pPr>
      <w:r>
        <w:rPr>
          <w:rFonts w:ascii="IBM Plex Mono" w:cs="IBM Plex Mono" w:eastAsia="IBM Plex Mono" w:hAnsi="IBM Plex Mono"/>
          <w:color w:val="1B2838"/>
          <w:sz w:val="17"/>
          <w:szCs w:val="17"/>
        </w:rPr>
        <w:t xml:space="preserve">apt install -y curl gzip tar ca-certificates</w:t>
      </w:r>
    </w:p>
    <w:p>
      <w:pPr>
        <w:spacing w:after="60" w:before="60"/>
      </w:pPr>
      <w:r>
        <w:rPr>
          <w:rFonts w:ascii="IBM Plex Sans" w:cs="IBM Plex Sans" w:eastAsia="IBM Plex Sans" w:hAnsi="IBM Plex Sans"/>
          <w:color w:val="000000"/>
          <w:sz w:val="20"/>
          <w:szCs w:val="20"/>
        </w:rPr>
        <w:t xml:space="preserve">Les utilitaires d’archivage sont des dépendances du script d’installation officiel et ne figurent pas dans le modèle minimal.</w:t>
      </w:r>
    </w:p>
    <w:p>
      <w:pPr>
        <w:spacing w:after="60" w:before="60"/>
      </w:pPr>
      <w:r>
        <w:rPr>
          <w:rFonts w:ascii="IBM Plex Sans" w:cs="IBM Plex Sans" w:eastAsia="IBM Plex Sans" w:hAnsi="IBM Plex Sans"/>
          <w:color w:val="000000"/>
          <w:sz w:val="20"/>
          <w:szCs w:val="20"/>
        </w:rPr>
        <w:t xml:space="preserve">Vérification : le port 53 doit être libre avant de poursuivre. La commande suivante ne doit rien retourner.</w:t>
      </w:r>
    </w:p>
    <w:p>
      <w:pPr>
        <w:shd w:fill="F2F3F5" w:val="clear"/>
        <w:spacing w:after="100" w:before="100"/>
      </w:pPr>
      <w:r>
        <w:rPr>
          <w:rFonts w:ascii="IBM Plex Mono" w:cs="IBM Plex Mono" w:eastAsia="IBM Plex Mono" w:hAnsi="IBM Plex Mono"/>
          <w:color w:val="1B2838"/>
          <w:sz w:val="17"/>
          <w:szCs w:val="17"/>
        </w:rPr>
        <w:t xml:space="preserve">ss -tulpn | grep ':53'</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C77D0A"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C77D0A"/>
                <w:sz w:val="20"/>
                <w:szCs w:val="20"/>
              </w:rPr>
              <w:t xml:space="preserve">NOTE   </w:t>
            </w:r>
            <w:r>
              <w:rPr>
                <w:rFonts w:ascii="IBM Plex Sans" w:cs="IBM Plex Sans" w:eastAsia="IBM Plex Sans" w:hAnsi="IBM Plex Sans"/>
                <w:color w:val="000000"/>
                <w:sz w:val="20"/>
                <w:szCs w:val="20"/>
              </w:rPr>
              <w:t xml:space="preserve">Sur une distribution utilisant un résolveur local intégré, ce service occupe le port 53 et doit être désactivé avant l’installation. Le modèle de conteneur standard ne l’active pas.</w:t>
            </w:r>
          </w:p>
        </w:tc>
      </w:tr>
    </w:tbl>
    <w:p>
      <w:pPr>
        <w:spacing w:after="60" w:before="180"/>
      </w:pPr>
      <w:r>
        <w:rPr>
          <w:rFonts w:ascii="IBM Plex Sans" w:cs="IBM Plex Sans" w:eastAsia="IBM Plex Sans" w:hAnsi="IBM Plex Sans"/>
          <w:b/>
          <w:bCs/>
          <w:color w:val="1B2838"/>
          <w:sz w:val="20"/>
          <w:szCs w:val="20"/>
        </w:rPr>
        <w:t xml:space="preserve">3.   Installation du moteur DNS</w:t>
      </w:r>
    </w:p>
    <w:p>
      <w:pPr>
        <w:spacing w:after="60" w:before="60"/>
      </w:pPr>
      <w:r>
        <w:rPr>
          <w:rFonts w:ascii="IBM Plex Sans" w:cs="IBM Plex Sans" w:eastAsia="IBM Plex Sans" w:hAnsi="IBM Plex Sans"/>
          <w:color w:val="000000"/>
          <w:sz w:val="20"/>
          <w:szCs w:val="20"/>
        </w:rPr>
        <w:t xml:space="preserve">L’éditeur fournit un script d’installation qui déploie l’environnement d’exécution applicatif, télécharge le serveur et déclare le service. Le script est téléchargé puis relu avant exécution : un enchaînement direct exécuterait du code non inspecté avec les privilèges les plus élevés.</w:t>
      </w:r>
    </w:p>
    <w:p>
      <w:pPr>
        <w:shd w:fill="F2F3F5" w:val="clear"/>
        <w:spacing w:after="0" w:before="100"/>
      </w:pPr>
      <w:r>
        <w:rPr>
          <w:rFonts w:ascii="IBM Plex Mono" w:cs="IBM Plex Mono" w:eastAsia="IBM Plex Mono" w:hAnsi="IBM Plex Mono"/>
          <w:color w:val="1B2838"/>
          <w:sz w:val="17"/>
          <w:szCs w:val="17"/>
        </w:rPr>
        <w:t xml:space="preserve">curl -sSL https://download.technitium.com/dns/install.sh -o /tmp/install.sh</w:t>
      </w:r>
    </w:p>
    <w:p>
      <w:pPr>
        <w:shd w:fill="F2F3F5" w:val="clear"/>
        <w:spacing w:after="0" w:before="0"/>
      </w:pPr>
      <w:r>
        <w:rPr>
          <w:rFonts w:ascii="IBM Plex Mono" w:cs="IBM Plex Mono" w:eastAsia="IBM Plex Mono" w:hAnsi="IBM Plex Mono"/>
          <w:color w:val="1B2838"/>
          <w:sz w:val="17"/>
          <w:szCs w:val="17"/>
        </w:rPr>
        <w:t xml:space="preserve">less /tmp/install.sh</w:t>
      </w:r>
    </w:p>
    <w:p>
      <w:pPr>
        <w:shd w:fill="F2F3F5" w:val="clear"/>
        <w:spacing w:after="100" w:before="0"/>
      </w:pPr>
      <w:r>
        <w:rPr>
          <w:rFonts w:ascii="IBM Plex Mono" w:cs="IBM Plex Mono" w:eastAsia="IBM Plex Mono" w:hAnsi="IBM Plex Mono"/>
          <w:color w:val="1B2838"/>
          <w:sz w:val="17"/>
          <w:szCs w:val="17"/>
        </w:rPr>
        <w:t xml:space="preserve">bash /tmp/install.sh</w:t>
      </w:r>
    </w:p>
    <w:p>
      <w:pPr>
        <w:spacing w:after="60" w:before="60"/>
      </w:pPr>
      <w:r>
        <w:rPr>
          <w:rFonts w:ascii="IBM Plex Sans" w:cs="IBM Plex Sans" w:eastAsia="IBM Plex Sans" w:hAnsi="IBM Plex Sans"/>
          <w:color w:val="000000"/>
          <w:sz w:val="20"/>
          <w:szCs w:val="20"/>
        </w:rPr>
        <w:t xml:space="preserve">Vérification :</w:t>
      </w:r>
    </w:p>
    <w:p>
      <w:pPr>
        <w:shd w:fill="F2F3F5" w:val="clear"/>
        <w:spacing w:after="0" w:before="100"/>
      </w:pPr>
      <w:r>
        <w:rPr>
          <w:rFonts w:ascii="IBM Plex Mono" w:cs="IBM Plex Mono" w:eastAsia="IBM Plex Mono" w:hAnsi="IBM Plex Mono"/>
          <w:color w:val="1B2838"/>
          <w:sz w:val="17"/>
          <w:szCs w:val="17"/>
        </w:rPr>
        <w:t xml:space="preserve">systemctl status dns-server</w:t>
      </w:r>
    </w:p>
    <w:p>
      <w:pPr>
        <w:shd w:fill="F2F3F5" w:val="clear"/>
        <w:spacing w:after="100" w:before="0"/>
      </w:pPr>
      <w:r>
        <w:rPr>
          <w:rFonts w:ascii="IBM Plex Mono" w:cs="IBM Plex Mono" w:eastAsia="IBM Plex Mono" w:hAnsi="IBM Plex Mono"/>
          <w:color w:val="1B2838"/>
          <w:sz w:val="17"/>
          <w:szCs w:val="17"/>
        </w:rPr>
        <w:t xml:space="preserve">ss -tulpn | grep -E ':53|:5380'</w:t>
      </w:r>
    </w:p>
    <w:p>
      <w:pPr>
        <w:spacing w:after="60" w:before="60"/>
      </w:pPr>
      <w:r>
        <w:rPr>
          <w:rFonts w:ascii="IBM Plex Sans" w:cs="IBM Plex Sans" w:eastAsia="IBM Plex Sans" w:hAnsi="IBM Plex Sans"/>
          <w:color w:val="000000"/>
          <w:sz w:val="20"/>
          <w:szCs w:val="20"/>
        </w:rPr>
        <w:t xml:space="preserve">Résultat attendu : service actif, ports 53 en UDP et TCP ainsi que le port de la console web en écoute sur l’adresse du serveur.</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B3261E"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B3261E"/>
                <w:sz w:val="20"/>
                <w:szCs w:val="20"/>
              </w:rPr>
              <w:t xml:space="preserve">ATTENTION   </w:t>
            </w:r>
            <w:r>
              <w:rPr>
                <w:rFonts w:ascii="IBM Plex Sans" w:cs="IBM Plex Sans" w:eastAsia="IBM Plex Sans" w:hAnsi="IBM Plex Sans"/>
                <w:color w:val="000000"/>
                <w:sz w:val="20"/>
                <w:szCs w:val="20"/>
              </w:rPr>
              <w:t xml:space="preserve">À partir de la version 15, le service s’exécute sous un compte dédié et non plus avec les privilèges les plus élevés. Les fichiers de certificats appartenant au compte administrateur deviennent illisibles par le service. Ce point doit être traité lors de la mise en place du transport chiffré.</w:t>
            </w:r>
          </w:p>
        </w:tc>
      </w:tr>
    </w:tbl>
    <w:p>
      <w:pPr>
        <w:spacing w:after="60" w:before="180"/>
      </w:pPr>
      <w:r>
        <w:rPr>
          <w:rFonts w:ascii="IBM Plex Sans" w:cs="IBM Plex Sans" w:eastAsia="IBM Plex Sans" w:hAnsi="IBM Plex Sans"/>
          <w:b/>
          <w:bCs/>
          <w:color w:val="1B2838"/>
          <w:sz w:val="20"/>
          <w:szCs w:val="20"/>
        </w:rPr>
        <w:t xml:space="preserve">4.   Accès à la console et changement des identifiants</w:t>
      </w:r>
    </w:p>
    <w:p>
      <w:pPr>
        <w:spacing w:after="60" w:before="60"/>
      </w:pPr>
      <w:r>
        <w:rPr>
          <w:rFonts w:ascii="IBM Plex Sans" w:cs="IBM Plex Sans" w:eastAsia="IBM Plex Sans" w:hAnsi="IBM Plex Sans"/>
          <w:color w:val="000000"/>
          <w:sz w:val="20"/>
          <w:szCs w:val="20"/>
        </w:rPr>
        <w:t xml:space="preserve">La console web est accessible sur le port dédié depuis le segment d’administration. Les identifiants par défaut sont documentés publiquement par l’éditeur et doivent être modifiés immédiatement, puis consignés dans le coffre de secrets.</w:t>
      </w:r>
    </w:p>
    <w:p>
      <w:pPr>
        <w:spacing w:after="60" w:before="60"/>
      </w:pPr>
      <w:r>
        <w:rPr>
          <w:rFonts w:ascii="IBM Plex Sans" w:cs="IBM Plex Sans" w:eastAsia="IBM Plex Sans" w:hAnsi="IBM Plex Sans"/>
          <w:color w:val="000000"/>
          <w:sz w:val="20"/>
          <w:szCs w:val="20"/>
        </w:rPr>
        <w:t xml:space="preserve">Vérification : la reconnexion avec les anciens identifiants échoue.</w:t>
      </w:r>
    </w:p>
    <w:p>
      <w:pPr>
        <w:spacing w:after="60" w:before="180"/>
      </w:pPr>
      <w:r>
        <w:rPr>
          <w:rFonts w:ascii="IBM Plex Sans" w:cs="IBM Plex Sans" w:eastAsia="IBM Plex Sans" w:hAnsi="IBM Plex Sans"/>
          <w:b/>
          <w:bCs/>
          <w:color w:val="1B2838"/>
          <w:sz w:val="20"/>
          <w:szCs w:val="20"/>
        </w:rPr>
        <w:t xml:space="preserve">5.   Création des zones</w:t>
      </w:r>
    </w:p>
    <w:p>
      <w:pPr>
        <w:spacing w:after="60" w:before="60"/>
      </w:pPr>
      <w:r>
        <w:rPr>
          <w:rFonts w:ascii="IBM Plex Sans" w:cs="IBM Plex Sans" w:eastAsia="IBM Plex Sans" w:hAnsi="IBM Plex Sans"/>
          <w:color w:val="000000"/>
          <w:sz w:val="20"/>
          <w:szCs w:val="20"/>
        </w:rPr>
        <w:t xml:space="preserve">Trois zones primaires sont créées : la zone directe du domaine interne et les zones inverses correspondant aux segments concernés.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Zone</w:t>
            </w:r>
          </w:p>
        </w:tc>
        <w:tc>
          <w:tcPr>
            <w:tcW w:type="dxa" w:w="56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Type</w:t>
            </w:r>
          </w:p>
        </w:tc>
      </w:tr>
      <w:tr>
        <w:trPr>
          <w:tblHeader w:val="false"/>
        </w:trPr>
        <w:tc>
          <w:tcPr>
            <w:tcW w:type="dxa" w:w="3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&lt;DOMAIN&gt;</w:t>
            </w:r>
          </w:p>
        </w:tc>
        <w:tc>
          <w:tcPr>
            <w:tcW w:type="dxa" w:w="56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Primaire, directe</w:t>
            </w:r>
          </w:p>
        </w:tc>
      </w:tr>
      <w:tr>
        <w:trPr>
          <w:tblHeader w:val="false"/>
        </w:trPr>
        <w:tc>
          <w:tcPr>
            <w:tcW w:type="dxa" w:w="3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&lt;X&gt;.&lt;Y&gt;.&lt;Z&gt;.in-addr.arpa</w:t>
            </w:r>
          </w:p>
        </w:tc>
        <w:tc>
          <w:tcPr>
            <w:tcW w:type="dxa" w:w="56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Primaire, inverse</w:t>
            </w:r>
          </w:p>
        </w:tc>
      </w:tr>
      <w:tr>
        <w:trPr>
          <w:tblHeader w:val="false"/>
        </w:trPr>
        <w:tc>
          <w:tcPr>
            <w:tcW w:type="dxa" w:w="3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&lt;X&gt;.&lt;Y&gt;.&lt;Z&gt;.in-addr.arpa</w:t>
            </w:r>
          </w:p>
        </w:tc>
        <w:tc>
          <w:tcPr>
            <w:tcW w:type="dxa" w:w="56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Primaire, inverse (autre segment)</w:t>
            </w:r>
          </w:p>
        </w:tc>
      </w:tr>
    </w:tbl>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B3261E"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B3261E"/>
                <w:sz w:val="20"/>
                <w:szCs w:val="20"/>
              </w:rPr>
              <w:t xml:space="preserve">ATTENTION   </w:t>
            </w:r>
            <w:r>
              <w:rPr>
                <w:rFonts w:ascii="IBM Plex Sans" w:cs="IBM Plex Sans" w:eastAsia="IBM Plex Sans" w:hAnsi="IBM Plex Sans"/>
                <w:color w:val="000000"/>
                <w:sz w:val="20"/>
                <w:szCs w:val="20"/>
              </w:rPr>
              <w:t xml:space="preserve">Les zones inverses doivent exister avant la saisie des enregistrements de type A. L’option de création automatique de l’enregistrement inverse est une action ponctuelle : elle est exécutée à l’enregistrement et n’est pas conservée comme attribut. Sans zone inverse préalable, elle est sans effet.</w:t>
            </w:r>
          </w:p>
        </w:tc>
      </w:tr>
    </w:tbl>
    <w:p>
      <w:pPr>
        <w:spacing w:after="60" w:before="180"/>
      </w:pPr>
      <w:r>
        <w:rPr>
          <w:rFonts w:ascii="IBM Plex Sans" w:cs="IBM Plex Sans" w:eastAsia="IBM Plex Sans" w:hAnsi="IBM Plex Sans"/>
          <w:b/>
          <w:bCs/>
          <w:color w:val="1B2838"/>
          <w:sz w:val="20"/>
          <w:szCs w:val="20"/>
        </w:rPr>
        <w:t xml:space="preserve">6.   Saisie des enregistrements</w:t>
      </w:r>
    </w:p>
    <w:p>
      <w:pPr>
        <w:spacing w:after="60" w:before="60"/>
      </w:pPr>
      <w:r>
        <w:rPr>
          <w:rFonts w:ascii="IBM Plex Sans" w:cs="IBM Plex Sans" w:eastAsia="IBM Plex Sans" w:hAnsi="IBM Plex Sans"/>
          <w:color w:val="000000"/>
          <w:sz w:val="20"/>
          <w:szCs w:val="20"/>
        </w:rPr>
        <w:t xml:space="preserve">Les équipements d’infrastructure sont déclarés dans la zone directe. Le nom saisi est relatif à la zone : le serveur complète automatiquement avec le domaine.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2826"/>
      </w:tblGrid>
      <w:tr>
        <w:trPr>
          <w:tblHeader/>
        </w:trPr>
        <w:tc>
          <w:tcPr>
            <w:tcW w:type="dxa" w:w="34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Nom relatif</w:t>
            </w:r>
          </w:p>
        </w:tc>
        <w:tc>
          <w:tcPr>
            <w:tcW w:type="dxa" w:w="28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Type</w:t>
            </w:r>
          </w:p>
        </w:tc>
        <w:tc>
          <w:tcPr>
            <w:tcW w:type="dxa" w:w="28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Valeur</w:t>
            </w:r>
          </w:p>
        </w:tc>
      </w:tr>
      <w:tr>
        <w:trPr>
          <w:tblHeader w:val="false"/>
        </w:trPr>
        <w:tc>
          <w:tcPr>
            <w:tcW w:type="dxa" w:w="3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&lt;hote&gt;.&lt;trigramme&gt;</w:t>
            </w:r>
          </w:p>
        </w:tc>
        <w:tc>
          <w:tcPr>
            <w:tcW w:type="dxa" w:w="28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w:t>
            </w:r>
          </w:p>
        </w:tc>
        <w:tc>
          <w:tcPr>
            <w:tcW w:type="dxa" w:w="28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&lt;adresse IPv4&gt;</w:t>
            </w:r>
          </w:p>
        </w:tc>
      </w:tr>
      <w:tr>
        <w:trPr>
          <w:tblHeader w:val="false"/>
        </w:trPr>
        <w:tc>
          <w:tcPr>
            <w:tcW w:type="dxa" w:w="3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&lt;hote&gt;.&lt;trigramme&gt;</w:t>
            </w:r>
          </w:p>
        </w:tc>
        <w:tc>
          <w:tcPr>
            <w:tcW w:type="dxa" w:w="28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w:t>
            </w:r>
          </w:p>
        </w:tc>
        <w:tc>
          <w:tcPr>
            <w:tcW w:type="dxa" w:w="28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&lt;adresse IPv4&gt;</w:t>
            </w:r>
          </w:p>
        </w:tc>
      </w:tr>
      <w:tr>
        <w:trPr>
          <w:tblHeader w:val="false"/>
        </w:trPr>
        <w:tc>
          <w:tcPr>
            <w:tcW w:type="dxa" w:w="3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&lt;hote&gt;.&lt;trigramme&gt;</w:t>
            </w:r>
          </w:p>
        </w:tc>
        <w:tc>
          <w:tcPr>
            <w:tcW w:type="dxa" w:w="28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w:t>
            </w:r>
          </w:p>
        </w:tc>
        <w:tc>
          <w:tcPr>
            <w:tcW w:type="dxa" w:w="28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&lt;adresse IPv4&gt;</w:t>
            </w:r>
          </w:p>
        </w:tc>
      </w:tr>
    </w:tbl>
    <w:p>
      <w:pPr>
        <w:spacing w:after="60" w:before="60"/>
      </w:pPr>
      <w:r>
        <w:rPr>
          <w:rFonts w:ascii="IBM Plex Sans" w:cs="IBM Plex Sans" w:eastAsia="IBM Plex Sans" w:hAnsi="IBM Plex Sans"/>
          <w:color w:val="000000"/>
          <w:sz w:val="20"/>
          <w:szCs w:val="20"/>
        </w:rPr>
        <w:t xml:space="preserve">L’option de création de l’enregistrement inverse est cochée à chaque saisie.</w:t>
      </w:r>
    </w:p>
    <w:p>
      <w:pPr>
        <w:spacing w:after="60" w:before="60"/>
      </w:pPr>
      <w:r>
        <w:rPr>
          <w:rFonts w:ascii="IBM Plex Sans" w:cs="IBM Plex Sans" w:eastAsia="IBM Plex Sans" w:hAnsi="IBM Plex Sans"/>
          <w:color w:val="000000"/>
          <w:sz w:val="20"/>
          <w:szCs w:val="20"/>
        </w:rPr>
        <w:t xml:space="preserve">Vérification : le numéro de série de la zone directe et celui des zones inverses progressent après chaque enregistrement.</w:t>
      </w:r>
    </w:p>
    <w:p>
      <w:r>
        <w:br w:type="page"/>
      </w:r>
    </w:p>
    <w:p>
      <w:pPr>
        <w:pStyle w:val="Heading1"/>
        <w:spacing w:after="120" w:before="240"/>
      </w:pPr>
      <w:r>
        <w:rPr>
          <w:rFonts w:ascii="IBM Plex Sans" w:cs="IBM Plex Sans" w:eastAsia="IBM Plex Sans" w:hAnsi="IBM Plex Sans"/>
          <w:b/>
          <w:bCs/>
          <w:color w:val="1B2838"/>
          <w:sz w:val="26"/>
          <w:szCs w:val="26"/>
        </w:rPr>
        <w:t xml:space="preserve">5    Intégration réseau</w:t>
      </w:r>
    </w:p>
    <w:p>
      <w:pPr>
        <w:spacing w:after="60" w:before="60"/>
      </w:pPr>
      <w:r>
        <w:rPr>
          <w:rFonts w:ascii="IBM Plex Sans" w:cs="IBM Plex Sans" w:eastAsia="IBM Plex Sans" w:hAnsi="IBM Plex Sans"/>
          <w:b/>
          <w:bCs/>
          <w:color w:val="1B2838"/>
          <w:sz w:val="20"/>
          <w:szCs w:val="20"/>
        </w:rPr>
        <w:t xml:space="preserve">Paramètres réseau du serveur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Élément</w:t>
            </w:r>
          </w:p>
        </w:tc>
        <w:tc>
          <w:tcPr>
            <w:tcW w:type="dxa" w:w="64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Valeur</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Interface</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eth0</w:t>
            </w:r>
          </w:p>
        </w:tc>
      </w:tr>
      <w:tr>
        <w:trPr>
          <w:tblHeader w:val="false"/>
        </w:trPr>
        <w:tc>
          <w:tcPr>
            <w:tcW w:type="dxa" w:w="26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Adresse IP</w:t>
            </w:r>
          </w:p>
        </w:tc>
        <w:tc>
          <w:tcPr>
            <w:tcW w:type="dxa" w:w="6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&lt;DNS_IP&gt;</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Passerelle</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&lt;GW&gt;</w:t>
            </w:r>
          </w:p>
        </w:tc>
      </w:tr>
      <w:tr>
        <w:trPr>
          <w:tblHeader w:val="false"/>
        </w:trPr>
        <w:tc>
          <w:tcPr>
            <w:tcW w:type="dxa" w:w="26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VLAN</w:t>
            </w:r>
          </w:p>
        </w:tc>
        <w:tc>
          <w:tcPr>
            <w:tcW w:type="dxa" w:w="6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&lt;VLAN_TAG&gt;</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Pont</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vmbr0</w:t>
            </w:r>
          </w:p>
        </w:tc>
      </w:tr>
      <w:tr>
        <w:trPr>
          <w:tblHeader w:val="false"/>
        </w:trPr>
        <w:tc>
          <w:tcPr>
            <w:tcW w:type="dxa" w:w="26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Nom DNS</w:t>
            </w:r>
          </w:p>
        </w:tc>
        <w:tc>
          <w:tcPr>
            <w:tcW w:type="dxa" w:w="6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&lt;FQDN&gt;</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Ports en écoute</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53/UDP, 53/TCP, console web/TCP</w:t>
            </w:r>
          </w:p>
        </w:tc>
      </w:tr>
      <w:tr>
        <w:trPr>
          <w:tblHeader w:val="false"/>
        </w:trPr>
        <w:tc>
          <w:tcPr>
            <w:tcW w:type="dxa" w:w="26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Flux entrants</w:t>
            </w:r>
          </w:p>
        </w:tc>
        <w:tc>
          <w:tcPr>
            <w:tcW w:type="dxa" w:w="6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Requêtes DNS depuis les segments autorisés ; console web depuis le segment d’administration</w:t>
            </w:r>
          </w:p>
        </w:tc>
      </w:tr>
      <w:tr>
        <w:trPr>
          <w:tblHeader w:val="false"/>
        </w:trPr>
        <w:tc>
          <w:tcPr>
            <w:tcW w:type="dxa" w:w="2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Flux sortants</w:t>
            </w:r>
          </w:p>
        </w:tc>
        <w:tc>
          <w:tcPr>
            <w:tcW w:type="dxa" w:w="6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Résolution récursive vers les serveurs racine en 53/UDP et 53/TCP</w:t>
            </w:r>
          </w:p>
        </w:tc>
      </w:tr>
    </w:tbl>
    <w:p>
      <w:pPr>
        <w:spacing w:after="100" w:before="0"/>
      </w:pPr>
    </w:p>
    <w:p>
      <w:pPr>
        <w:spacing w:after="60" w:before="180"/>
      </w:pPr>
      <w:r>
        <w:rPr>
          <w:rFonts w:ascii="IBM Plex Sans" w:cs="IBM Plex Sans" w:eastAsia="IBM Plex Sans" w:hAnsi="IBM Plex Sans"/>
          <w:b/>
          <w:bCs/>
          <w:color w:val="1B2838"/>
          <w:sz w:val="20"/>
          <w:szCs w:val="20"/>
        </w:rPr>
        <w:t xml:space="preserve">1.   Politiques de sécurité inter-zones</w:t>
      </w:r>
    </w:p>
    <w:p>
      <w:pPr>
        <w:spacing w:after="60" w:before="60"/>
      </w:pPr>
      <w:r>
        <w:rPr>
          <w:rFonts w:ascii="IBM Plex Sans" w:cs="IBM Plex Sans" w:eastAsia="IBM Plex Sans" w:hAnsi="IBM Plex Sans"/>
          <w:color w:val="000000"/>
          <w:sz w:val="20"/>
          <w:szCs w:val="20"/>
        </w:rPr>
        <w:t xml:space="preserve">Avant la bascule, chaque segment interrogeait sa propre passerelle : le trafic était traité localement par le pare-feu et ne nécessitait aucune politique. Pointer un serveur situé dans un autre segment transforme ce trafic en flux inter-zones, qui doit être explicitement autorisé.</w:t>
      </w:r>
    </w:p>
    <w:p>
      <w:pPr>
        <w:spacing w:after="60" w:before="60"/>
      </w:pPr>
      <w:r>
        <w:rPr>
          <w:rFonts w:ascii="IBM Plex Sans" w:cs="IBM Plex Sans" w:eastAsia="IBM Plex Sans" w:hAnsi="IBM Plex Sans"/>
          <w:color w:val="000000"/>
          <w:sz w:val="20"/>
          <w:szCs w:val="20"/>
        </w:rPr>
        <w:t xml:space="preserve">Un objet d’adressage est créé pour le serveur, puis une politique par zone source.</w:t>
      </w:r>
    </w:p>
    <w:p>
      <w:pPr>
        <w:shd w:fill="F2F3F5" w:val="clear"/>
        <w:spacing w:after="0" w:before="100"/>
      </w:pPr>
      <w:r>
        <w:rPr>
          <w:rFonts w:ascii="IBM Plex Mono" w:cs="IBM Plex Mono" w:eastAsia="IBM Plex Mono" w:hAnsi="IBM Plex Mono"/>
          <w:color w:val="1B2838"/>
          <w:sz w:val="17"/>
          <w:szCs w:val="17"/>
        </w:rPr>
        <w:t xml:space="preserve">set security address-book global address &lt;OBJ&gt; &lt;DNS_IP&gt;/32</w:t>
      </w:r>
    </w:p>
    <w:p>
      <w:pPr>
        <w:shd w:fill="F2F3F5" w:val="clear"/>
        <w:spacing w:after="0" w:before="0"/>
      </w:pPr>
      <w:r>
        <w:rPr>
          <w:rFonts w:ascii="IBM Plex Mono" w:cs="IBM Plex Mono" w:eastAsia="IBM Plex Mono" w:hAnsi="IBM Plex Mono"/>
          <w:color w:val="1B2838"/>
          <w:sz w:val="17"/>
          <w:szCs w:val="17"/>
        </w:rPr>
        <w:t xml:space="preserve">set security policies from-zone &lt;SRC&gt; to-zone &lt;DST&gt; policy &lt;NOM&gt; match source-address any</w:t>
      </w:r>
    </w:p>
    <w:p>
      <w:pPr>
        <w:shd w:fill="F2F3F5" w:val="clear"/>
        <w:spacing w:after="0" w:before="0"/>
      </w:pPr>
      <w:r>
        <w:rPr>
          <w:rFonts w:ascii="IBM Plex Mono" w:cs="IBM Plex Mono" w:eastAsia="IBM Plex Mono" w:hAnsi="IBM Plex Mono"/>
          <w:color w:val="1B2838"/>
          <w:sz w:val="17"/>
          <w:szCs w:val="17"/>
        </w:rPr>
        <w:t xml:space="preserve">set security policies from-zone &lt;SRC&gt; to-zone &lt;DST&gt; policy &lt;NOM&gt; match destination-address &lt;OBJ&gt;</w:t>
      </w:r>
    </w:p>
    <w:p>
      <w:pPr>
        <w:shd w:fill="F2F3F5" w:val="clear"/>
        <w:spacing w:after="0" w:before="0"/>
      </w:pPr>
      <w:r>
        <w:rPr>
          <w:rFonts w:ascii="IBM Plex Mono" w:cs="IBM Plex Mono" w:eastAsia="IBM Plex Mono" w:hAnsi="IBM Plex Mono"/>
          <w:color w:val="1B2838"/>
          <w:sz w:val="17"/>
          <w:szCs w:val="17"/>
        </w:rPr>
        <w:t xml:space="preserve">set security policies from-zone &lt;SRC&gt; to-zone &lt;DST&gt; policy &lt;NOM&gt; match application [ &lt;dns-udp&gt; &lt;dns-tcp&gt; ]</w:t>
      </w:r>
    </w:p>
    <w:p>
      <w:pPr>
        <w:shd w:fill="F2F3F5" w:val="clear"/>
        <w:spacing w:after="100" w:before="0"/>
      </w:pPr>
      <w:r>
        <w:rPr>
          <w:rFonts w:ascii="IBM Plex Mono" w:cs="IBM Plex Mono" w:eastAsia="IBM Plex Mono" w:hAnsi="IBM Plex Mono"/>
          <w:color w:val="1B2838"/>
          <w:sz w:val="17"/>
          <w:szCs w:val="17"/>
        </w:rPr>
        <w:t xml:space="preserve">set security policies from-zone &lt;SRC&gt; to-zone &lt;DST&gt; policy &lt;NOM&gt; then permit</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C77D0A"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C77D0A"/>
                <w:sz w:val="20"/>
                <w:szCs w:val="20"/>
              </w:rPr>
              <w:t xml:space="preserve">NOTE   </w:t>
            </w:r>
            <w:r>
              <w:rPr>
                <w:rFonts w:ascii="IBM Plex Sans" w:cs="IBM Plex Sans" w:eastAsia="IBM Plex Sans" w:hAnsi="IBM Plex Sans"/>
                <w:color w:val="000000"/>
                <w:sz w:val="20"/>
                <w:szCs w:val="20"/>
              </w:rPr>
              <w:t xml:space="preserve">Le protocole TCP doit être autorisé au même titre que UDP. Les réponses signées cryptographiquement dépassent fréquemment la taille maximale d’un datagramme et provoquent un repli sur TCP. L’omettre produit des échecs intermittents difficiles à diagnostiquer.</w:t>
            </w:r>
          </w:p>
        </w:tc>
      </w:tr>
    </w:tbl>
    <w:p>
      <w:pPr>
        <w:spacing w:after="60" w:before="60"/>
      </w:pPr>
      <w:r>
        <w:rPr>
          <w:rFonts w:ascii="IBM Plex Sans" w:cs="IBM Plex Sans" w:eastAsia="IBM Plex Sans" w:hAnsi="IBM Plex Sans"/>
          <w:color w:val="000000"/>
          <w:sz w:val="20"/>
          <w:szCs w:val="20"/>
        </w:rPr>
        <w:t xml:space="preserve">Vérification : les politiques existantes de la zone source vers la zone de destination sont listées et la nouvelle règle n’est précédée d’aucune règle de refus. L’évaluation s’effectue dans l’ordre de déclaration.</w:t>
      </w:r>
    </w:p>
    <w:p>
      <w:pPr>
        <w:spacing w:after="60" w:before="180"/>
      </w:pPr>
      <w:r>
        <w:rPr>
          <w:rFonts w:ascii="IBM Plex Sans" w:cs="IBM Plex Sans" w:eastAsia="IBM Plex Sans" w:hAnsi="IBM Plex Sans"/>
          <w:b/>
          <w:bCs/>
          <w:color w:val="1B2838"/>
          <w:sz w:val="20"/>
          <w:szCs w:val="20"/>
        </w:rPr>
        <w:t xml:space="preserve">2.   Bascule des attributs DHCP</w:t>
      </w:r>
    </w:p>
    <w:p>
      <w:pPr>
        <w:spacing w:after="60" w:before="60"/>
      </w:pPr>
      <w:r>
        <w:rPr>
          <w:rFonts w:ascii="IBM Plex Sans" w:cs="IBM Plex Sans" w:eastAsia="IBM Plex Sans" w:hAnsi="IBM Plex Sans"/>
          <w:color w:val="000000"/>
          <w:sz w:val="20"/>
          <w:szCs w:val="20"/>
        </w:rPr>
        <w:t xml:space="preserve">Chaque pool distribue l’adresse du nouveau serveur et le suffixe de recherche. La bascule s’effectue segment par segment, en commençant par un segment sans conséquence opérationnelle et en terminant par le segment d’administration.</w:t>
      </w:r>
    </w:p>
    <w:p>
      <w:pPr>
        <w:shd w:fill="F2F3F5" w:val="clear"/>
        <w:spacing w:after="0" w:before="100"/>
      </w:pPr>
      <w:r>
        <w:rPr>
          <w:rFonts w:ascii="IBM Plex Mono" w:cs="IBM Plex Mono" w:eastAsia="IBM Plex Mono" w:hAnsi="IBM Plex Mono"/>
          <w:color w:val="1B2838"/>
          <w:sz w:val="17"/>
          <w:szCs w:val="17"/>
        </w:rPr>
        <w:t xml:space="preserve">delete access address-assignment pool &lt;POOL&gt; family inet dhcp-attributes name-server</w:t>
      </w:r>
    </w:p>
    <w:p>
      <w:pPr>
        <w:shd w:fill="F2F3F5" w:val="clear"/>
        <w:spacing w:after="0" w:before="0"/>
      </w:pPr>
      <w:r>
        <w:rPr>
          <w:rFonts w:ascii="IBM Plex Mono" w:cs="IBM Plex Mono" w:eastAsia="IBM Plex Mono" w:hAnsi="IBM Plex Mono"/>
          <w:color w:val="1B2838"/>
          <w:sz w:val="17"/>
          <w:szCs w:val="17"/>
        </w:rPr>
        <w:t xml:space="preserve">set access address-assignment pool &lt;POOL&gt; family inet dhcp-attributes name-server &lt;DNS_IP&gt;</w:t>
      </w:r>
    </w:p>
    <w:p>
      <w:pPr>
        <w:shd w:fill="F2F3F5" w:val="clear"/>
        <w:spacing w:after="0" w:before="0"/>
      </w:pPr>
      <w:r>
        <w:rPr>
          <w:rFonts w:ascii="IBM Plex Mono" w:cs="IBM Plex Mono" w:eastAsia="IBM Plex Mono" w:hAnsi="IBM Plex Mono"/>
          <w:color w:val="1B2838"/>
          <w:sz w:val="17"/>
          <w:szCs w:val="17"/>
        </w:rPr>
        <w:t xml:space="preserve">set access address-assignment pool &lt;POOL&gt; family inet dhcp-attributes domain-name &lt;DOMAIN&gt;</w:t>
      </w:r>
    </w:p>
    <w:p>
      <w:pPr>
        <w:shd w:fill="F2F3F5" w:val="clear"/>
        <w:spacing w:after="0" w:before="0"/>
      </w:pPr>
      <w:r>
        <w:rPr>
          <w:rFonts w:ascii="IBM Plex Mono" w:cs="IBM Plex Mono" w:eastAsia="IBM Plex Mono" w:hAnsi="IBM Plex Mono"/>
          <w:color w:val="1B2838"/>
          <w:sz w:val="17"/>
          <w:szCs w:val="17"/>
        </w:rPr>
        <w:t xml:space="preserve">show | compare</w:t>
      </w:r>
    </w:p>
    <w:p>
      <w:pPr>
        <w:shd w:fill="F2F3F5" w:val="clear"/>
        <w:spacing w:after="100" w:before="0"/>
      </w:pPr>
      <w:r>
        <w:rPr>
          <w:rFonts w:ascii="IBM Plex Mono" w:cs="IBM Plex Mono" w:eastAsia="IBM Plex Mono" w:hAnsi="IBM Plex Mono"/>
          <w:color w:val="1B2838"/>
          <w:sz w:val="17"/>
          <w:szCs w:val="17"/>
        </w:rPr>
        <w:t xml:space="preserve">commit confirmed 5</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B3261E"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B3261E"/>
                <w:sz w:val="20"/>
                <w:szCs w:val="20"/>
              </w:rPr>
              <w:t xml:space="preserve">ATTENTION   </w:t>
            </w:r>
            <w:r>
              <w:rPr>
                <w:rFonts w:ascii="IBM Plex Sans" w:cs="IBM Plex Sans" w:eastAsia="IBM Plex Sans" w:hAnsi="IBM Plex Sans"/>
                <w:color w:val="000000"/>
                <w:sz w:val="20"/>
                <w:szCs w:val="20"/>
              </w:rPr>
              <w:t xml:space="preserve">La validation temporisée annule automatiquement la modification après le délai indiqué si elle n’est pas confirmée. Elle protège la configuration de l’équipement, non le bail du poste d’administration. Une validation définitive par une seconde commande est requise.</w:t>
            </w:r>
          </w:p>
        </w:tc>
      </w:tr>
    </w:tbl>
    <w:p>
      <w:pPr>
        <w:spacing w:after="60" w:before="60"/>
      </w:pPr>
      <w:r>
        <w:rPr>
          <w:rFonts w:ascii="IBM Plex Sans" w:cs="IBM Plex Sans" w:eastAsia="IBM Plex Sans" w:hAnsi="IBM Plex Sans"/>
          <w:color w:val="000000"/>
          <w:sz w:val="20"/>
          <w:szCs w:val="20"/>
        </w:rPr>
        <w:t xml:space="preserve">Vérification : la liste des attributs distribués ne comporte plus qu’une seule adresse de serveur DNS par pool basculé. Côté client, le renouvellement du bail est nécessaire pour appliquer la modification ; les baux en cours ne sont pas affectés.</w:t>
      </w:r>
    </w:p>
    <w:p>
      <w:pPr>
        <w:spacing w:after="60" w:before="180"/>
      </w:pPr>
      <w:r>
        <w:rPr>
          <w:rFonts w:ascii="IBM Plex Sans" w:cs="IBM Plex Sans" w:eastAsia="IBM Plex Sans" w:hAnsi="IBM Plex Sans"/>
          <w:b/>
          <w:bCs/>
          <w:color w:val="1B2838"/>
          <w:sz w:val="20"/>
          <w:szCs w:val="20"/>
        </w:rPr>
        <w:t xml:space="preserve">3.   Auto-résolution du serveur</w:t>
      </w:r>
    </w:p>
    <w:p>
      <w:pPr>
        <w:spacing w:after="60" w:before="60"/>
      </w:pPr>
      <w:r>
        <w:rPr>
          <w:rFonts w:ascii="IBM Plex Sans" w:cs="IBM Plex Sans" w:eastAsia="IBM Plex Sans" w:hAnsi="IBM Plex Sans"/>
          <w:color w:val="000000"/>
          <w:sz w:val="20"/>
          <w:szCs w:val="20"/>
        </w:rPr>
        <w:t xml:space="preserve">Une fois les zones en place, le serveur se résout par lui-même.</w:t>
      </w:r>
    </w:p>
    <w:p>
      <w:pPr>
        <w:shd w:fill="F2F3F5" w:val="clear"/>
        <w:spacing w:after="0" w:before="100"/>
      </w:pPr>
      <w:r>
        <w:rPr>
          <w:rFonts w:ascii="IBM Plex Mono" w:cs="IBM Plex Mono" w:eastAsia="IBM Plex Mono" w:hAnsi="IBM Plex Mono"/>
          <w:color w:val="1B2838"/>
          <w:sz w:val="17"/>
          <w:szCs w:val="17"/>
        </w:rPr>
        <w:t xml:space="preserve">pct set &lt;CTID&gt; --nameserver 127.0.0.1</w:t>
      </w:r>
    </w:p>
    <w:p>
      <w:pPr>
        <w:shd w:fill="F2F3F5" w:val="clear"/>
        <w:spacing w:after="100" w:before="0"/>
      </w:pPr>
      <w:r>
        <w:rPr>
          <w:rFonts w:ascii="IBM Plex Mono" w:cs="IBM Plex Mono" w:eastAsia="IBM Plex Mono" w:hAnsi="IBM Plex Mono"/>
          <w:color w:val="1B2838"/>
          <w:sz w:val="17"/>
          <w:szCs w:val="17"/>
        </w:rPr>
        <w:t xml:space="preserve">pct reboot &lt;CTID&gt;</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C77D0A"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C77D0A"/>
                <w:sz w:val="20"/>
                <w:szCs w:val="20"/>
              </w:rPr>
              <w:t xml:space="preserve">NOTE   </w:t>
            </w:r>
            <w:r>
              <w:rPr>
                <w:rFonts w:ascii="IBM Plex Sans" w:cs="IBM Plex Sans" w:eastAsia="IBM Plex Sans" w:hAnsi="IBM Plex Sans"/>
                <w:color w:val="000000"/>
                <w:sz w:val="20"/>
                <w:szCs w:val="20"/>
              </w:rPr>
              <w:t xml:space="preserve">Le suffixe de recherche du conteneur doit correspondre à la zone de son propre segment. Une valeur héritée d’un autre segment n’empêche pas le fonctionnement mais fausse toute résolution en nom court.</w:t>
            </w:r>
          </w:p>
        </w:tc>
      </w:tr>
    </w:tbl>
    <w:p>
      <w:r>
        <w:br w:type="page"/>
      </w:r>
    </w:p>
    <w:p>
      <w:pPr>
        <w:pStyle w:val="Heading1"/>
        <w:spacing w:after="120" w:before="240"/>
      </w:pPr>
      <w:r>
        <w:rPr>
          <w:rFonts w:ascii="IBM Plex Sans" w:cs="IBM Plex Sans" w:eastAsia="IBM Plex Sans" w:hAnsi="IBM Plex Sans"/>
          <w:b/>
          <w:bCs/>
          <w:color w:val="1B2838"/>
          <w:sz w:val="26"/>
          <w:szCs w:val="26"/>
        </w:rPr>
        <w:t xml:space="preserve">6    Durcissement et sécurité</w:t>
      </w:r>
    </w:p>
    <w:p>
      <w:pPr>
        <w:pStyle w:val="ListParagraph"/>
        <w:numPr>
          <w:ilvl w:val="0"/>
          <w:numId w:val="2"/>
        </w:numPr>
        <w:spacing w:after="40" w:before="40"/>
      </w:pPr>
      <w:r>
        <w:rPr>
          <w:rFonts w:ascii="IBM Plex Sans" w:cs="IBM Plex Sans" w:eastAsia="IBM Plex Sans" w:hAnsi="IBM Plex Sans"/>
          <w:sz w:val="20"/>
          <w:szCs w:val="20"/>
        </w:rPr>
        <w:t xml:space="preserve">Restreindre la récursion par liste de contrôle d’accès explicite. Le mode « réseaux privés » autorise l’ensemble de l’espace d’adressage privé, bien au-delà du périmètre réel de l’installation.</w:t>
      </w:r>
    </w:p>
    <w:p>
      <w:pPr>
        <w:pStyle w:val="ListParagraph"/>
        <w:numPr>
          <w:ilvl w:val="0"/>
          <w:numId w:val="2"/>
        </w:numPr>
        <w:spacing w:after="40" w:before="40"/>
      </w:pPr>
      <w:r>
        <w:rPr>
          <w:rFonts w:ascii="IBM Plex Sans" w:cs="IBM Plex Sans" w:eastAsia="IBM Plex Sans" w:hAnsi="IBM Plex Sans"/>
          <w:sz w:val="20"/>
          <w:szCs w:val="20"/>
        </w:rPr>
        <w:t xml:space="preserve">Ne jamais exposer la récursion à un réseau public : un résolveur ouvert est utilisable comme amplificateur d’attaque par déni de service.</w:t>
      </w:r>
    </w:p>
    <w:p>
      <w:pPr>
        <w:pStyle w:val="ListParagraph"/>
        <w:numPr>
          <w:ilvl w:val="0"/>
          <w:numId w:val="2"/>
        </w:numPr>
        <w:spacing w:after="40" w:before="40"/>
      </w:pPr>
      <w:r>
        <w:rPr>
          <w:rFonts w:ascii="IBM Plex Sans" w:cs="IBM Plex Sans" w:eastAsia="IBM Plex Sans" w:hAnsi="IBM Plex Sans"/>
          <w:sz w:val="20"/>
          <w:szCs w:val="20"/>
        </w:rPr>
        <w:t xml:space="preserve">Limiter l’écoute aux interfaces utiles plutôt qu’à toutes les adresses de l’hôte.</w:t>
      </w:r>
    </w:p>
    <w:p>
      <w:pPr>
        <w:pStyle w:val="ListParagraph"/>
        <w:numPr>
          <w:ilvl w:val="0"/>
          <w:numId w:val="2"/>
        </w:numPr>
        <w:spacing w:after="40" w:before="40"/>
      </w:pPr>
      <w:r>
        <w:rPr>
          <w:rFonts w:ascii="IBM Plex Sans" w:cs="IBM Plex Sans" w:eastAsia="IBM Plex Sans" w:hAnsi="IBM Plex Sans"/>
          <w:sz w:val="20"/>
          <w:szCs w:val="20"/>
        </w:rPr>
        <w:t xml:space="preserve">Exclure de la liste d’accès les segments déclarés isolés. Une politique de pare-feu bloquante ne dispense pas d’une restriction applicative : la défense en profondeur suppose que chaque couche refuse indépendamment.</w:t>
      </w:r>
    </w:p>
    <w:p>
      <w:pPr>
        <w:pStyle w:val="ListParagraph"/>
        <w:numPr>
          <w:ilvl w:val="0"/>
          <w:numId w:val="2"/>
        </w:numPr>
        <w:spacing w:after="40" w:before="40"/>
      </w:pPr>
      <w:r>
        <w:rPr>
          <w:rFonts w:ascii="IBM Plex Sans" w:cs="IBM Plex Sans" w:eastAsia="IBM Plex Sans" w:hAnsi="IBM Plex Sans"/>
          <w:sz w:val="20"/>
          <w:szCs w:val="20"/>
        </w:rPr>
        <w:t xml:space="preserve">Modifier les identifiants par défaut avant toute exposition sur le réseau et consigner le nouveau mot de passe dans le coffre de secrets.</w:t>
      </w:r>
    </w:p>
    <w:p>
      <w:pPr>
        <w:pStyle w:val="ListParagraph"/>
        <w:numPr>
          <w:ilvl w:val="0"/>
          <w:numId w:val="2"/>
        </w:numPr>
        <w:spacing w:after="40" w:before="40"/>
      </w:pPr>
      <w:r>
        <w:rPr>
          <w:rFonts w:ascii="IBM Plex Sans" w:cs="IBM Plex Sans" w:eastAsia="IBM Plex Sans" w:hAnsi="IBM Plex Sans"/>
          <w:sz w:val="20"/>
          <w:szCs w:val="20"/>
        </w:rPr>
        <w:t xml:space="preserve">Exécuter le service sous un compte dédié, conformément au comportement par défaut des versions récentes.</w:t>
      </w:r>
    </w:p>
    <w:p>
      <w:pPr>
        <w:pStyle w:val="ListParagraph"/>
        <w:numPr>
          <w:ilvl w:val="0"/>
          <w:numId w:val="2"/>
        </w:numPr>
        <w:spacing w:after="40" w:before="40"/>
      </w:pPr>
      <w:r>
        <w:rPr>
          <w:rFonts w:ascii="IBM Plex Sans" w:cs="IBM Plex Sans" w:eastAsia="IBM Plex Sans" w:hAnsi="IBM Plex Sans"/>
          <w:sz w:val="20"/>
          <w:szCs w:val="20"/>
        </w:rPr>
        <w:t xml:space="preserve">Conserver le mode récursif direct plutôt qu’un relais vers un résolveur tiers, afin de ne pas rendre la visibilité des résolutions internes à un opérateur externe.</w:t>
      </w:r>
    </w:p>
    <w:p>
      <w:pPr>
        <w:pStyle w:val="ListParagraph"/>
        <w:numPr>
          <w:ilvl w:val="0"/>
          <w:numId w:val="2"/>
        </w:numPr>
        <w:spacing w:after="40" w:before="40"/>
      </w:pPr>
      <w:r>
        <w:rPr>
          <w:rFonts w:ascii="IBM Plex Sans" w:cs="IBM Plex Sans" w:eastAsia="IBM Plex Sans" w:hAnsi="IBM Plex Sans"/>
          <w:sz w:val="20"/>
          <w:szCs w:val="20"/>
        </w:rPr>
        <w:t xml:space="preserve">Restreindre l’accès à la console web au seul segment d’administration.</w:t>
      </w:r>
    </w:p>
    <w:p>
      <w:pPr>
        <w:pStyle w:val="ListParagraph"/>
        <w:numPr>
          <w:ilvl w:val="0"/>
          <w:numId w:val="2"/>
        </w:numPr>
        <w:spacing w:after="40" w:before="40"/>
      </w:pPr>
      <w:r>
        <w:rPr>
          <w:rFonts w:ascii="IBM Plex Sans" w:cs="IBM Plex Sans" w:eastAsia="IBM Plex Sans" w:hAnsi="IBM Plex Sans"/>
          <w:sz w:val="20"/>
          <w:szCs w:val="20"/>
        </w:rPr>
        <w:t xml:space="preserve">Maintenir un instantané antérieur à la configuration et intégrer le conteneur au plan de sauvegarde.</w:t>
      </w:r>
    </w:p>
    <w:p>
      <w:pPr>
        <w:spacing w:after="100" w:before="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left w:val="single" w:color="C77D0A" w:sz="24"/>
            </w:tcBorders>
            <w:shd w:fill="F2F3F5" w:val="clear"/>
            <w:tcMar>
              <w:top w:type="dxa" w:w="100"/>
              <w:left w:type="dxa" w:w="140"/>
              <w:bottom w:type="dxa" w:w="100"/>
              <w:right w:type="dxa" w:w="100"/>
            </w:tcMar>
          </w:tcPr>
          <w:p>
            <w:pPr>
              <w:spacing w:after="0" w:before="0"/>
            </w:pPr>
            <w:r>
              <w:rPr>
                <w:rFonts w:ascii="IBM Plex Sans" w:cs="IBM Plex Sans" w:eastAsia="IBM Plex Sans" w:hAnsi="IBM Plex Sans"/>
                <w:b/>
                <w:bCs/>
                <w:color w:val="C77D0A"/>
                <w:sz w:val="20"/>
                <w:szCs w:val="20"/>
              </w:rPr>
              <w:t xml:space="preserve">NOTE   </w:t>
            </w:r>
            <w:r>
              <w:rPr>
                <w:rFonts w:ascii="IBM Plex Sans" w:cs="IBM Plex Sans" w:eastAsia="IBM Plex Sans" w:hAnsi="IBM Plex Sans"/>
                <w:color w:val="000000"/>
                <w:sz w:val="20"/>
                <w:szCs w:val="20"/>
              </w:rPr>
              <w:t xml:space="preserve">La signature cryptographique des zones internes n’apporte rien lorsque le domaine utilisé n’existe pas dans l’espace de nommage public : aucune chaîne de confiance ne peut être établie jusqu’à la racine. La validation des réponses reçues, elle, est assurée par le résolveur récursif et doit être vérifiée par le test prévu en section 7.</w:t>
            </w:r>
          </w:p>
        </w:tc>
      </w:tr>
    </w:tbl>
    <w:p>
      <w:pPr>
        <w:pStyle w:val="Heading2"/>
        <w:spacing w:after="120" w:before="240"/>
      </w:pPr>
      <w:r>
        <w:rPr>
          <w:rFonts w:ascii="IBM Plex Sans" w:cs="IBM Plex Sans" w:eastAsia="IBM Plex Sans" w:hAnsi="IBM Plex Sans"/>
          <w:b/>
          <w:bCs/>
          <w:color w:val="1B2838"/>
          <w:sz w:val="22"/>
          <w:szCs w:val="22"/>
        </w:rPr>
        <w:t xml:space="preserve">Limites connues</w:t>
      </w:r>
    </w:p>
    <w:p>
      <w:pPr>
        <w:pStyle w:val="ListParagraph"/>
        <w:numPr>
          <w:ilvl w:val="0"/>
          <w:numId w:val="2"/>
        </w:numPr>
        <w:spacing w:after="40" w:before="40"/>
      </w:pPr>
      <w:r>
        <w:rPr>
          <w:rFonts w:ascii="IBM Plex Sans" w:cs="IBM Plex Sans" w:eastAsia="IBM Plex Sans" w:hAnsi="IBM Plex Sans"/>
          <w:sz w:val="20"/>
          <w:szCs w:val="20"/>
        </w:rPr>
        <w:t xml:space="preserve">Serveur unique : toute indisponibilité interrompt la résolution sur l’ensemble des segments basculés. Les équipements restent joignables par adresse IP.</w:t>
      </w:r>
    </w:p>
    <w:p>
      <w:pPr>
        <w:pStyle w:val="ListParagraph"/>
        <w:numPr>
          <w:ilvl w:val="0"/>
          <w:numId w:val="2"/>
        </w:numPr>
        <w:spacing w:after="40" w:before="40"/>
      </w:pPr>
      <w:r>
        <w:rPr>
          <w:rFonts w:ascii="IBM Plex Sans" w:cs="IBM Plex Sans" w:eastAsia="IBM Plex Sans" w:hAnsi="IBM Plex Sans"/>
          <w:sz w:val="20"/>
          <w:szCs w:val="20"/>
        </w:rPr>
        <w:t xml:space="preserve">Le transport chiffré et les listes de blocage ne sont pas traités par cette procédure.</w:t>
      </w:r>
    </w:p>
    <w:p>
      <w:pPr>
        <w:pStyle w:val="ListParagraph"/>
        <w:numPr>
          <w:ilvl w:val="0"/>
          <w:numId w:val="2"/>
        </w:numPr>
        <w:spacing w:after="40" w:before="40"/>
      </w:pPr>
      <w:r>
        <w:rPr>
          <w:rFonts w:ascii="IBM Plex Sans" w:cs="IBM Plex Sans" w:eastAsia="IBM Plex Sans" w:hAnsi="IBM Plex Sans"/>
          <w:sz w:val="20"/>
          <w:szCs w:val="20"/>
        </w:rPr>
        <w:t xml:space="preserve">La délégation vers un annuaire suppose que celui-ci soit déjà déployé ; elle fait l’objet d’une procédure distincte.</w:t>
      </w:r>
    </w:p>
    <w:p>
      <w:pPr>
        <w:pStyle w:val="Heading2"/>
        <w:spacing w:after="120" w:before="240"/>
      </w:pPr>
      <w:r>
        <w:rPr>
          <w:rFonts w:ascii="IBM Plex Sans" w:cs="IBM Plex Sans" w:eastAsia="IBM Plex Sans" w:hAnsi="IBM Plex Sans"/>
          <w:b/>
          <w:bCs/>
          <w:color w:val="1B2838"/>
          <w:sz w:val="22"/>
          <w:szCs w:val="22"/>
        </w:rPr>
        <w:t xml:space="preserve">Retour arrière</w:t>
      </w:r>
    </w:p>
    <w:p>
      <w:pPr>
        <w:spacing w:after="60" w:before="60"/>
      </w:pPr>
      <w:r>
        <w:rPr>
          <w:rFonts w:ascii="IBM Plex Sans" w:cs="IBM Plex Sans" w:eastAsia="IBM Plex Sans" w:hAnsi="IBM Plex Sans"/>
          <w:color w:val="000000"/>
          <w:sz w:val="20"/>
          <w:szCs w:val="20"/>
        </w:rPr>
        <w:t xml:space="preserve">Un instantané est créé avant la phase de configuration.</w:t>
      </w:r>
    </w:p>
    <w:p>
      <w:pPr>
        <w:shd w:fill="F2F3F5" w:val="clear"/>
        <w:spacing w:after="0" w:before="100"/>
      </w:pPr>
      <w:r>
        <w:rPr>
          <w:rFonts w:ascii="IBM Plex Mono" w:cs="IBM Plex Mono" w:eastAsia="IBM Plex Mono" w:hAnsi="IBM Plex Mono"/>
          <w:color w:val="1B2838"/>
          <w:sz w:val="17"/>
          <w:szCs w:val="17"/>
        </w:rPr>
        <w:t xml:space="preserve">pct snapshot &lt;CTID&gt; pre-config</w:t>
      </w:r>
    </w:p>
    <w:p>
      <w:pPr>
        <w:shd w:fill="F2F3F5" w:val="clear"/>
        <w:spacing w:after="100" w:before="0"/>
      </w:pPr>
      <w:r>
        <w:rPr>
          <w:rFonts w:ascii="IBM Plex Mono" w:cs="IBM Plex Mono" w:eastAsia="IBM Plex Mono" w:hAnsi="IBM Plex Mono"/>
          <w:color w:val="1B2838"/>
          <w:sz w:val="17"/>
          <w:szCs w:val="17"/>
        </w:rPr>
        <w:t xml:space="preserve">pct rollback &lt;CTID&gt; pre-config</w:t>
      </w:r>
    </w:p>
    <w:p>
      <w:pPr>
        <w:spacing w:after="60" w:before="60"/>
      </w:pPr>
      <w:r>
        <w:rPr>
          <w:rFonts w:ascii="IBM Plex Sans" w:cs="IBM Plex Sans" w:eastAsia="IBM Plex Sans" w:hAnsi="IBM Plex Sans"/>
          <w:color w:val="000000"/>
          <w:sz w:val="20"/>
          <w:szCs w:val="20"/>
        </w:rPr>
        <w:t xml:space="preserve">Côté pare-feu, l’annulation de la dernière modification validée s’obtient par retour à la version antérieure de la configuration, suivie d’une validation. Côté client, un renouvellement de bail restaure l’attribut précédent.</w:t>
      </w:r>
    </w:p>
    <w:p>
      <w:pPr>
        <w:pStyle w:val="Heading2"/>
        <w:spacing w:after="120" w:before="240"/>
      </w:pPr>
      <w:r>
        <w:rPr>
          <w:rFonts w:ascii="IBM Plex Sans" w:cs="IBM Plex Sans" w:eastAsia="IBM Plex Sans" w:hAnsi="IBM Plex Sans"/>
          <w:b/>
          <w:bCs/>
          <w:color w:val="1B2838"/>
          <w:sz w:val="22"/>
          <w:szCs w:val="22"/>
        </w:rPr>
        <w:t xml:space="preserve">Pièges rencontrés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rPr>
          <w:tblHeader/>
        </w:trPr>
        <w:tc>
          <w:tcPr>
            <w:tcW w:type="dxa" w:w="30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Symptôme</w:t>
            </w:r>
          </w:p>
        </w:tc>
        <w:tc>
          <w:tcPr>
            <w:tcW w:type="dxa" w:w="30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Cause</w:t>
            </w:r>
          </w:p>
        </w:tc>
        <w:tc>
          <w:tcPr>
            <w:tcW w:type="dxa" w:w="30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Résolution</w:t>
            </w:r>
          </w:p>
        </w:tc>
      </w:tr>
      <w:tr>
        <w:trPr>
          <w:tblHeader w:val="false"/>
        </w:trPr>
        <w:tc>
          <w:tcPr>
            <w:tcW w:type="dxa" w:w="30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Le conteneur n’obtient pas de bail ou ne joint pas sa passerelle</w:t>
            </w:r>
          </w:p>
        </w:tc>
        <w:tc>
          <w:tcPr>
            <w:tcW w:type="dxa" w:w="30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Étiquette VLAN non autorisée sur le lien montant vers le nœud</w:t>
            </w:r>
          </w:p>
        </w:tc>
        <w:tc>
          <w:tcPr>
            <w:tcW w:type="dxa" w:w="30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Ajouter le VLAN à la liste des VLAN autorisés du trunk</w:t>
            </w:r>
          </w:p>
        </w:tc>
      </w:tr>
      <w:tr>
        <w:trPr>
          <w:tblHeader w:val="false"/>
        </w:trPr>
        <w:tc>
          <w:tcPr>
            <w:tcW w:type="dxa" w:w="30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Enregistrement inverse absent malgré l’option cochée</w:t>
            </w:r>
          </w:p>
        </w:tc>
        <w:tc>
          <w:tcPr>
            <w:tcW w:type="dxa" w:w="30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Zone inverse créée après la saisie de l’enregistrement direct</w:t>
            </w:r>
          </w:p>
        </w:tc>
        <w:tc>
          <w:tcPr>
            <w:tcW w:type="dxa" w:w="30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Rouvrir l’enregistrement en édition et cocher à nouveau l’option</w:t>
            </w:r>
          </w:p>
        </w:tc>
      </w:tr>
      <w:tr>
        <w:trPr>
          <w:tblHeader w:val="false"/>
        </w:trPr>
        <w:tc>
          <w:tcPr>
            <w:tcW w:type="dxa" w:w="30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Refus de la configuration à la validation</w:t>
            </w:r>
          </w:p>
        </w:tc>
        <w:tc>
          <w:tcPr>
            <w:tcW w:type="dxa" w:w="30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Objet d’adressage référencé mais non déclaré</w:t>
            </w:r>
          </w:p>
        </w:tc>
        <w:tc>
          <w:tcPr>
            <w:tcW w:type="dxa" w:w="30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Créer l’objet dans le carnet d’adresses avant la politique</w:t>
            </w:r>
          </w:p>
        </w:tc>
      </w:tr>
      <w:tr>
        <w:trPr>
          <w:tblHeader w:val="false"/>
        </w:trPr>
        <w:tc>
          <w:tcPr>
            <w:tcW w:type="dxa" w:w="30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Résolution interne fonctionnelle, résolution externe en échec</w:t>
            </w:r>
          </w:p>
        </w:tc>
        <w:tc>
          <w:tcPr>
            <w:tcW w:type="dxa" w:w="30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Politique inter-zones absente ou placée après une règle de refus</w:t>
            </w:r>
          </w:p>
        </w:tc>
        <w:tc>
          <w:tcPr>
            <w:tcW w:type="dxa" w:w="30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Vérifier l’ordre d’évaluation des politiques</w:t>
            </w:r>
          </w:p>
        </w:tc>
      </w:tr>
      <w:tr>
        <w:trPr>
          <w:tblHeader w:val="false"/>
        </w:trPr>
        <w:tc>
          <w:tcPr>
            <w:tcW w:type="dxa" w:w="30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Modifications inattendues validées</w:t>
            </w:r>
          </w:p>
        </w:tc>
        <w:tc>
          <w:tcPr>
            <w:tcW w:type="dxa" w:w="30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Session de configuration concurrente partageant la configuration candidate</w:t>
            </w:r>
          </w:p>
        </w:tc>
        <w:tc>
          <w:tcPr>
            <w:tcW w:type="dxa" w:w="30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Utiliser le mode de configuration exclusif</w:t>
            </w:r>
          </w:p>
        </w:tc>
      </w:tr>
    </w:tbl>
    <w:p>
      <w:r>
        <w:br w:type="page"/>
      </w:r>
    </w:p>
    <w:p>
      <w:pPr>
        <w:pStyle w:val="Heading1"/>
        <w:spacing w:after="120" w:before="240"/>
      </w:pPr>
      <w:r>
        <w:rPr>
          <w:rFonts w:ascii="IBM Plex Sans" w:cs="IBM Plex Sans" w:eastAsia="IBM Plex Sans" w:hAnsi="IBM Plex Sans"/>
          <w:b/>
          <w:bCs/>
          <w:color w:val="1B2838"/>
          <w:sz w:val="26"/>
          <w:szCs w:val="26"/>
        </w:rPr>
        <w:t xml:space="preserve">7    Vérifications finales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5426"/>
        <w:gridCol w:w="1200"/>
      </w:tblGrid>
      <w:tr>
        <w:trPr>
          <w:tblHeader/>
        </w:trPr>
        <w:tc>
          <w:tcPr>
            <w:tcW w:type="dxa" w:w="24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Contrôle</w:t>
            </w:r>
          </w:p>
        </w:tc>
        <w:tc>
          <w:tcPr>
            <w:tcW w:type="dxa" w:w="54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Critère d’acceptation</w:t>
            </w:r>
          </w:p>
        </w:tc>
        <w:tc>
          <w:tcPr>
            <w:tcW w:type="dxa" w:w="12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Statut</w:t>
            </w:r>
          </w:p>
        </w:tc>
      </w:tr>
      <w:tr>
        <w:trPr>
          <w:tblHeader w:val="false"/>
        </w:trPr>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Service</w:t>
            </w:r>
          </w:p>
        </w:tc>
        <w:tc>
          <w:tcPr>
            <w:tcW w:type="dxa" w:w="5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L’état du service retourne « actif »</w:t>
            </w:r>
          </w:p>
        </w:tc>
        <w:tc>
          <w:tcPr>
            <w:tcW w:type="dxa" w:w="1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Ports</w:t>
            </w:r>
          </w:p>
        </w:tc>
        <w:tc>
          <w:tcPr>
            <w:tcW w:type="dxa" w:w="5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Les ports 53 en UDP et TCP et le port de la console sont en écoute sur l’adresse du serveur</w:t>
            </w:r>
          </w:p>
        </w:tc>
        <w:tc>
          <w:tcPr>
            <w:tcW w:type="dxa" w:w="1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Connectivité</w:t>
            </w:r>
          </w:p>
        </w:tc>
        <w:tc>
          <w:tcPr>
            <w:tcW w:type="dxa" w:w="5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Le serveur atteint sa passerelle en ICMP sans perte</w:t>
            </w:r>
          </w:p>
        </w:tc>
        <w:tc>
          <w:tcPr>
            <w:tcW w:type="dxa" w:w="1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Récursion</w:t>
            </w:r>
          </w:p>
        </w:tc>
        <w:tc>
          <w:tcPr>
            <w:tcW w:type="dxa" w:w="5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Une interrogation sur un domaine public retourne au moins une adresse</w:t>
            </w:r>
          </w:p>
        </w:tc>
        <w:tc>
          <w:tcPr>
            <w:tcW w:type="dxa" w:w="1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Zone directe</w:t>
            </w:r>
          </w:p>
        </w:tc>
        <w:tc>
          <w:tcPr>
            <w:tcW w:type="dxa" w:w="5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Une interrogation sur un nom interne retourne l’adresse attendue</w:t>
            </w:r>
          </w:p>
        </w:tc>
        <w:tc>
          <w:tcPr>
            <w:tcW w:type="dxa" w:w="1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Zone inverse</w:t>
            </w:r>
          </w:p>
        </w:tc>
        <w:tc>
          <w:tcPr>
            <w:tcW w:type="dxa" w:w="5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Une interrogation inverse sur une adresse interne retourne le nom pleinement qualifié</w:t>
            </w:r>
          </w:p>
        </w:tc>
        <w:tc>
          <w:tcPr>
            <w:tcW w:type="dxa" w:w="1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Validation cryptographique</w:t>
            </w:r>
          </w:p>
        </w:tc>
        <w:tc>
          <w:tcPr>
            <w:tcW w:type="dxa" w:w="5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Une interrogation sur un domaine volontairement mal signé retourne une erreur de service et non une réponse</w:t>
            </w:r>
          </w:p>
        </w:tc>
        <w:tc>
          <w:tcPr>
            <w:tcW w:type="dxa" w:w="1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Récursion fermée</w:t>
            </w:r>
          </w:p>
        </w:tc>
        <w:tc>
          <w:tcPr>
            <w:tcW w:type="dxa" w:w="5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Une interrogation depuis un réseau hors liste d’accès est refusée</w:t>
            </w:r>
          </w:p>
        </w:tc>
        <w:tc>
          <w:tcPr>
            <w:tcW w:type="dxa" w:w="1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Attributs DHCP</w:t>
            </w:r>
          </w:p>
        </w:tc>
        <w:tc>
          <w:tcPr>
            <w:tcW w:type="dxa" w:w="5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Un client renouvelé reçoit l’adresse du serveur et le suffixe de recherche</w:t>
            </w:r>
          </w:p>
        </w:tc>
        <w:tc>
          <w:tcPr>
            <w:tcW w:type="dxa" w:w="1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2F3F5"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Persistance</w:t>
            </w:r>
          </w:p>
        </w:tc>
        <w:tc>
          <w:tcPr>
            <w:tcW w:type="dxa" w:w="5426"/>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Après redémarrage du conteneur, le service est actif et les zones sont présentes</w:t>
            </w:r>
          </w:p>
        </w:tc>
        <w:tc>
          <w:tcPr>
            <w:tcW w:type="dxa" w:w="1200"/>
            <w:shd w:fill="F2F3F5"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r>
        <w:trPr>
          <w:tblHeader w:val="false"/>
        </w:trPr>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Dimensionnement</w:t>
            </w:r>
          </w:p>
        </w:tc>
        <w:tc>
          <w:tcPr>
            <w:tcW w:type="dxa" w:w="54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La consommation mémoire relevée après vingt-quatre heures reste inférieure à l’allocation</w:t>
            </w:r>
          </w:p>
        </w:tc>
        <w:tc>
          <w:tcPr>
            <w:tcW w:type="dxa" w:w="12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w:t>
            </w:r>
          </w:p>
        </w:tc>
      </w:tr>
    </w:tbl>
    <w:p>
      <w:pPr>
        <w:spacing w:after="100" w:before="0"/>
      </w:pPr>
    </w:p>
    <w:p>
      <w:pPr>
        <w:spacing w:after="60" w:before="60"/>
      </w:pPr>
      <w:r>
        <w:rPr>
          <w:rFonts w:ascii="IBM Plex Sans" w:cs="IBM Plex Sans" w:eastAsia="IBM Plex Sans" w:hAnsi="IBM Plex Sans"/>
          <w:b/>
          <w:bCs/>
          <w:color w:val="1B2838"/>
          <w:sz w:val="20"/>
          <w:szCs w:val="20"/>
        </w:rPr>
        <w:t xml:space="preserve">Commandes de contrôle</w:t>
      </w:r>
    </w:p>
    <w:p>
      <w:pPr>
        <w:shd w:fill="F2F3F5" w:val="clear"/>
        <w:spacing w:after="0" w:before="100"/>
      </w:pPr>
      <w:r>
        <w:rPr>
          <w:rFonts w:ascii="IBM Plex Mono" w:cs="IBM Plex Mono" w:eastAsia="IBM Plex Mono" w:hAnsi="IBM Plex Mono"/>
          <w:color w:val="1B2838"/>
          <w:sz w:val="17"/>
          <w:szCs w:val="17"/>
        </w:rPr>
        <w:t xml:space="preserve">dig @&lt;DNS_IP&gt; &lt;domaine_public&gt; +short</w:t>
      </w:r>
    </w:p>
    <w:p>
      <w:pPr>
        <w:shd w:fill="F2F3F5" w:val="clear"/>
        <w:spacing w:after="0" w:before="0"/>
      </w:pPr>
      <w:r>
        <w:rPr>
          <w:rFonts w:ascii="IBM Plex Mono" w:cs="IBM Plex Mono" w:eastAsia="IBM Plex Mono" w:hAnsi="IBM Plex Mono"/>
          <w:color w:val="1B2838"/>
          <w:sz w:val="17"/>
          <w:szCs w:val="17"/>
        </w:rPr>
        <w:t xml:space="preserve">dig @&lt;DNS_IP&gt; &lt;hote&gt;.&lt;trigramme&gt;.&lt;DOMAIN&gt; +short</w:t>
      </w:r>
    </w:p>
    <w:p>
      <w:pPr>
        <w:shd w:fill="F2F3F5" w:val="clear"/>
        <w:spacing w:after="0" w:before="0"/>
      </w:pPr>
      <w:r>
        <w:rPr>
          <w:rFonts w:ascii="IBM Plex Mono" w:cs="IBM Plex Mono" w:eastAsia="IBM Plex Mono" w:hAnsi="IBM Plex Mono"/>
          <w:color w:val="1B2838"/>
          <w:sz w:val="17"/>
          <w:szCs w:val="17"/>
        </w:rPr>
        <w:t xml:space="preserve">dig @&lt;DNS_IP&gt; -x &lt;adresse_interne&gt; +short</w:t>
      </w:r>
    </w:p>
    <w:p>
      <w:pPr>
        <w:shd w:fill="F2F3F5" w:val="clear"/>
        <w:spacing w:after="100" w:before="0"/>
      </w:pPr>
      <w:r>
        <w:rPr>
          <w:rFonts w:ascii="IBM Plex Mono" w:cs="IBM Plex Mono" w:eastAsia="IBM Plex Mono" w:hAnsi="IBM Plex Mono"/>
          <w:color w:val="1B2838"/>
          <w:sz w:val="17"/>
          <w:szCs w:val="17"/>
        </w:rPr>
        <w:t xml:space="preserve">dig @&lt;DNS_IP&gt; &lt;domaine_mal_signe&gt;</w:t>
      </w:r>
    </w:p>
    <w:p>
      <w:pPr>
        <w:spacing w:after="60" w:before="60"/>
      </w:pPr>
      <w:r>
        <w:rPr>
          <w:rFonts w:ascii="IBM Plex Sans" w:cs="IBM Plex Sans" w:eastAsia="IBM Plex Sans" w:hAnsi="IBM Plex Sans"/>
          <w:color w:val="000000"/>
          <w:sz w:val="20"/>
          <w:szCs w:val="20"/>
        </w:rPr>
        <w:t xml:space="preserve">Le dernier contrôle est le seul qui atteste réellement de la validation cryptographique : le domaine interrogé est délibérément mal signé, un résolveur validant doit refuser de répondre et signaler le motif du rejet.</w:t>
      </w:r>
    </w:p>
    <w:p>
      <w:pPr>
        <w:pStyle w:val="Heading1"/>
        <w:spacing w:after="120" w:before="240"/>
      </w:pPr>
      <w:r>
        <w:rPr>
          <w:rFonts w:ascii="IBM Plex Sans" w:cs="IBM Plex Sans" w:eastAsia="IBM Plex Sans" w:hAnsi="IBM Plex Sans"/>
          <w:b/>
          <w:bCs/>
          <w:color w:val="1B2838"/>
          <w:sz w:val="26"/>
          <w:szCs w:val="26"/>
        </w:rPr>
        <w:t xml:space="preserve">8    Références et historique des révisions</w:t>
      </w:r>
    </w:p>
    <w:p>
      <w:pPr>
        <w:pStyle w:val="Heading2"/>
        <w:spacing w:after="120" w:before="240"/>
      </w:pPr>
      <w:r>
        <w:rPr>
          <w:rFonts w:ascii="IBM Plex Sans" w:cs="IBM Plex Sans" w:eastAsia="IBM Plex Sans" w:hAnsi="IBM Plex Sans"/>
          <w:b/>
          <w:bCs/>
          <w:color w:val="1B2838"/>
          <w:sz w:val="22"/>
          <w:szCs w:val="22"/>
        </w:rPr>
        <w:t xml:space="preserve">Documents associés</w:t>
      </w:r>
    </w:p>
    <w:p>
      <w:pPr>
        <w:pStyle w:val="ListParagraph"/>
        <w:numPr>
          <w:ilvl w:val="0"/>
          <w:numId w:val="2"/>
        </w:numPr>
        <w:spacing w:after="40" w:before="40"/>
      </w:pPr>
      <w:r>
        <w:rPr>
          <w:rFonts w:ascii="IBM Plex Sans" w:cs="IBM Plex Sans" w:eastAsia="IBM Plex Sans" w:hAnsi="IBM Plex Sans"/>
          <w:sz w:val="20"/>
          <w:szCs w:val="20"/>
        </w:rPr>
        <w:t xml:space="preserve">HL-PRC-001 — Configuration du pare-feu périmétrique et du plan de segmentation.</w:t>
      </w:r>
    </w:p>
    <w:p>
      <w:pPr>
        <w:pStyle w:val="ListParagraph"/>
        <w:numPr>
          <w:ilvl w:val="0"/>
          <w:numId w:val="2"/>
        </w:numPr>
        <w:spacing w:after="40" w:before="40"/>
      </w:pPr>
      <w:r>
        <w:rPr>
          <w:rFonts w:ascii="IBM Plex Sans" w:cs="IBM Plex Sans" w:eastAsia="IBM Plex Sans" w:hAnsi="IBM Plex Sans"/>
          <w:sz w:val="20"/>
          <w:szCs w:val="20"/>
        </w:rPr>
        <w:t xml:space="preserve">HL-PRC-002 — Configuration de l’équipement de commutation et des liens montants étiquetés.</w:t>
      </w:r>
    </w:p>
    <w:p>
      <w:pPr>
        <w:pStyle w:val="ListParagraph"/>
        <w:numPr>
          <w:ilvl w:val="0"/>
          <w:numId w:val="2"/>
        </w:numPr>
        <w:spacing w:after="40" w:before="40"/>
      </w:pPr>
      <w:r>
        <w:rPr>
          <w:rFonts w:ascii="IBM Plex Sans" w:cs="IBM Plex Sans" w:eastAsia="IBM Plex Sans" w:hAnsi="IBM Plex Sans"/>
          <w:sz w:val="20"/>
          <w:szCs w:val="20"/>
        </w:rPr>
        <w:t xml:space="preserve">HL-PRC-003 — Déploiement du contrôleur de domaine et délégation de la zone d’annuaire.</w:t>
      </w:r>
    </w:p>
    <w:p>
      <w:pPr>
        <w:pStyle w:val="Heading2"/>
        <w:spacing w:after="120" w:before="240"/>
      </w:pPr>
      <w:r>
        <w:rPr>
          <w:rFonts w:ascii="IBM Plex Sans" w:cs="IBM Plex Sans" w:eastAsia="IBM Plex Sans" w:hAnsi="IBM Plex Sans"/>
          <w:b/>
          <w:bCs/>
          <w:color w:val="1B2838"/>
          <w:sz w:val="22"/>
          <w:szCs w:val="22"/>
        </w:rPr>
        <w:t xml:space="preserve">Documentation éditeur</w:t>
      </w:r>
    </w:p>
    <w:p>
      <w:pPr>
        <w:pStyle w:val="ListParagraph"/>
        <w:numPr>
          <w:ilvl w:val="0"/>
          <w:numId w:val="2"/>
        </w:numPr>
        <w:spacing w:after="40" w:before="40"/>
      </w:pPr>
      <w:r>
        <w:rPr>
          <w:rFonts w:ascii="IBM Plex Sans" w:cs="IBM Plex Sans" w:eastAsia="IBM Plex Sans" w:hAnsi="IBM Plex Sans"/>
          <w:sz w:val="20"/>
          <w:szCs w:val="20"/>
        </w:rPr>
        <w:t xml:space="preserve">Technitium DNS Server — site officiel et instructions d’installation : https://technitium.com/dns/</w:t>
      </w:r>
    </w:p>
    <w:p>
      <w:pPr>
        <w:pStyle w:val="ListParagraph"/>
        <w:numPr>
          <w:ilvl w:val="0"/>
          <w:numId w:val="2"/>
        </w:numPr>
        <w:spacing w:after="40" w:before="40"/>
      </w:pPr>
      <w:r>
        <w:rPr>
          <w:rFonts w:ascii="IBM Plex Sans" w:cs="IBM Plex Sans" w:eastAsia="IBM Plex Sans" w:hAnsi="IBM Plex Sans"/>
          <w:sz w:val="20"/>
          <w:szCs w:val="20"/>
        </w:rPr>
        <w:t xml:space="preserve">Technitium DNS Server — dépôt du projet et notes de version : https://github.com/TechnitiumSoftware/DnsServer</w:t>
      </w:r>
    </w:p>
    <w:p>
      <w:pPr>
        <w:pStyle w:val="ListParagraph"/>
        <w:numPr>
          <w:ilvl w:val="0"/>
          <w:numId w:val="2"/>
        </w:numPr>
        <w:spacing w:after="40" w:before="40"/>
      </w:pPr>
      <w:r>
        <w:rPr>
          <w:rFonts w:ascii="IBM Plex Sans" w:cs="IBM Plex Sans" w:eastAsia="IBM Plex Sans" w:hAnsi="IBM Plex Sans"/>
          <w:sz w:val="20"/>
          <w:szCs w:val="20"/>
        </w:rPr>
        <w:t xml:space="preserve">Proxmox VE — documentation des conteneurs LXC : https://pve.proxmox.com/pve-docs/</w:t>
      </w:r>
    </w:p>
    <w:p>
      <w:pPr>
        <w:pStyle w:val="ListParagraph"/>
        <w:numPr>
          <w:ilvl w:val="0"/>
          <w:numId w:val="2"/>
        </w:numPr>
        <w:spacing w:after="40" w:before="40"/>
      </w:pPr>
      <w:r>
        <w:rPr>
          <w:rFonts w:ascii="IBM Plex Sans" w:cs="IBM Plex Sans" w:eastAsia="IBM Plex Sans" w:hAnsi="IBM Plex Sans"/>
          <w:sz w:val="20"/>
          <w:szCs w:val="20"/>
        </w:rPr>
        <w:t xml:space="preserve">Juniper — documentation Junos relative aux politiques de sécurité et à l’attribution d’adresses.</w:t>
      </w:r>
    </w:p>
    <w:p>
      <w:pPr>
        <w:pStyle w:val="Heading2"/>
        <w:spacing w:after="120" w:before="240"/>
      </w:pPr>
      <w:r>
        <w:rPr>
          <w:rFonts w:ascii="IBM Plex Sans" w:cs="IBM Plex Sans" w:eastAsia="IBM Plex Sans" w:hAnsi="IBM Plex Sans"/>
          <w:b/>
          <w:bCs/>
          <w:color w:val="1B2838"/>
          <w:sz w:val="22"/>
          <w:szCs w:val="22"/>
        </w:rPr>
        <w:t xml:space="preserve">Historique des révisions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1900"/>
        <w:gridCol w:w="2400"/>
        <w:gridCol w:w="3126"/>
      </w:tblGrid>
      <w:tr>
        <w:trPr>
          <w:tblHeader/>
        </w:trPr>
        <w:tc>
          <w:tcPr>
            <w:tcW w:type="dxa" w:w="16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Version</w:t>
            </w:r>
          </w:p>
        </w:tc>
        <w:tc>
          <w:tcPr>
            <w:tcW w:type="dxa" w:w="19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Date</w:t>
            </w:r>
          </w:p>
        </w:tc>
        <w:tc>
          <w:tcPr>
            <w:tcW w:type="dxa" w:w="2400"/>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Auteur</w:t>
            </w:r>
          </w:p>
        </w:tc>
        <w:tc>
          <w:tcPr>
            <w:tcW w:type="dxa" w:w="3126"/>
            <w:shd w:fill="1B2838" w:val="clear"/>
            <w:tcMar>
              <w:top w:type="dxa" w:w="60"/>
              <w:left w:type="dxa" w:w="90"/>
              <w:bottom w:type="dxa" w:w="60"/>
              <w:right w:type="dxa" w:w="90"/>
            </w:tcMar>
          </w:tcPr>
          <w:p>
            <w:pPr>
              <w:spacing w:after="60" w:before="60"/>
            </w:pPr>
            <w:r>
              <w:rPr>
                <w:rFonts w:ascii="IBM Plex Sans" w:cs="IBM Plex Sans" w:eastAsia="IBM Plex Sans" w:hAnsi="IBM Plex Sans"/>
                <w:b/>
                <w:bCs/>
                <w:color w:val="FFFFFF"/>
                <w:sz w:val="19"/>
                <w:szCs w:val="19"/>
              </w:rPr>
              <w:t xml:space="preserve">Modifications</w:t>
            </w:r>
          </w:p>
        </w:tc>
      </w:tr>
      <w:tr>
        <w:trPr>
          <w:tblHeader w:val="false"/>
        </w:trPr>
        <w:tc>
          <w:tcPr>
            <w:tcW w:type="dxa" w:w="1600"/>
            <w:shd w:fill="FFFFFF" w:val="clear"/>
            <w:tcMar>
              <w:top w:type="dxa" w:w="60"/>
              <w:left w:type="dxa" w:w="90"/>
              <w:bottom w:type="dxa" w:w="60"/>
              <w:right w:type="dxa" w:w="90"/>
            </w:tcMar>
          </w:tcPr>
          <w:p>
            <w:pPr>
              <w:spacing w:after="60" w:before="60"/>
            </w:pPr>
            <w:r>
              <w:rPr>
                <w:rFonts w:ascii="IBM Plex Sans" w:cs="IBM Plex Sans" w:eastAsia="IBM Plex Sans" w:hAnsi="IBM Plex Sans"/>
                <w:b/>
                <w:bCs/>
                <w:color w:val="000000"/>
                <w:sz w:val="19"/>
                <w:szCs w:val="19"/>
              </w:rPr>
              <w:t xml:space="preserve">0.1</w:t>
            </w:r>
          </w:p>
        </w:tc>
        <w:tc>
          <w:tcPr>
            <w:tcW w:type="dxa" w:w="19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24/08/2026</w:t>
            </w:r>
          </w:p>
        </w:tc>
        <w:tc>
          <w:tcPr>
            <w:tcW w:type="dxa" w:w="2400"/>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Administrateur</w:t>
            </w:r>
          </w:p>
        </w:tc>
        <w:tc>
          <w:tcPr>
            <w:tcW w:type="dxa" w:w="3126"/>
            <w:shd w:fill="FFFFFF" w:val="clear"/>
            <w:tcMar>
              <w:top w:type="dxa" w:w="60"/>
              <w:left w:type="dxa" w:w="90"/>
              <w:bottom w:type="dxa" w:w="60"/>
              <w:right w:type="dxa" w:w="90"/>
            </w:tcMar>
          </w:tcPr>
          <w:p>
            <w:pPr>
              <w:spacing w:after="60" w:before="60"/>
            </w:pPr>
            <w:r>
              <w:rPr>
                <w:rFonts w:ascii="IBM Plex Sans" w:cs="IBM Plex Sans" w:eastAsia="IBM Plex Sans" w:hAnsi="IBM Plex Sans"/>
                <w:b w:val="false"/>
                <w:bCs w:val="false"/>
                <w:color w:val="000000"/>
                <w:sz w:val="19"/>
                <w:szCs w:val="19"/>
              </w:rPr>
              <w:t xml:space="preserve">Création du document.</w:t>
            </w:r>
          </w:p>
        </w:tc>
      </w:tr>
    </w:tbl>
    <w:p>
      <w:pPr>
        <w:spacing w:after="100" w:before="0"/>
      </w:pPr>
    </w:p>
    <w:p>
      <w:pPr>
        <w:spacing w:after="60" w:before="60"/>
      </w:pPr>
      <w:r>
        <w:rPr>
          <w:rFonts w:ascii="IBM Plex Sans" w:cs="IBM Plex Sans" w:eastAsia="IBM Plex Sans" w:hAnsi="IBM Plex Sans"/>
          <w:i/>
          <w:iCs/>
          <w:color w:val="666666"/>
          <w:sz w:val="17"/>
          <w:szCs w:val="17"/>
        </w:rPr>
        <w:t xml:space="preserve">Document interne — diffusion restreinte au périmètre du homelab.</w:t>
      </w:r>
    </w:p>
    <w:sectPr>
      <w:headerReference w:type="default" r:id="rId7"/>
      <w:footerReference w:type="default" r:id="rId8"/>
      <w:pgSz w:w="11906" w:h="16838"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6" w:space="6"/>
      </w:pBdr>
      <w:tabs>
        <w:tab w:val="center" w:pos="4513"/>
        <w:tab w:val="right" w:pos="9026"/>
      </w:tabs>
    </w:pPr>
    <w:r>
      <w:rPr>
        <w:rFonts w:ascii="IBM Plex Sans" w:cs="IBM Plex Sans" w:eastAsia="IBM Plex Sans" w:hAnsi="IBM Plex Sans"/>
        <w:color w:val="666666"/>
        <w:sz w:val="16"/>
        <w:szCs w:val="16"/>
      </w:rPr>
      <w:t xml:space="preserve">HL-PRC-004 · v0.1</w:t>
    </w:r>
    <w:r>
      <w:rPr>
        <w:rFonts w:ascii="IBM Plex Sans" w:cs="IBM Plex Sans" w:eastAsia="IBM Plex Sans" w:hAnsi="IBM Plex Sans"/>
        <w:color w:val="666666"/>
        <w:sz w:val="16"/>
        <w:szCs w:val="16"/>
      </w:rPr>
      <w:t xml:space="preserve">	Interne — diffusion restreinte	</w:t>
    </w:r>
    <w:r>
      <w:rPr>
        <w:rFonts w:ascii="IBM Plex Sans" w:cs="IBM Plex Sans" w:eastAsia="IBM Plex Sans" w:hAnsi="IBM Plex Sans"/>
        <w:color w:val="666666"/>
        <w:sz w:val="16"/>
        <w:szCs w:val="16"/>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7D0A" w:sz="6" w:space="6"/>
      </w:pBdr>
      <w:tabs>
        <w:tab w:val="right" w:pos="9026"/>
      </w:tabs>
      <w:spacing w:after="120"/>
    </w:pPr>
    <w:r>
      <w:rPr>
        <w:rFonts w:ascii="IBM Plex Sans" w:cs="IBM Plex Sans" w:eastAsia="IBM Plex Sans" w:hAnsi="IBM Plex Sans"/>
        <w:b/>
        <w:bCs/>
        <w:color w:val="1B2838"/>
        <w:sz w:val="18"/>
        <w:szCs w:val="18"/>
      </w:rPr>
      <w:t xml:space="preserve">HOMELAB</w:t>
    </w:r>
    <w:r>
      <w:rPr>
        <w:rFonts w:ascii="IBM Plex Sans" w:cs="IBM Plex Sans" w:eastAsia="IBM Plex Sans" w:hAnsi="IBM Plex Sans"/>
        <w:color w:val="666666"/>
        <w:sz w:val="18"/>
        <w:szCs w:val="18"/>
      </w:rPr>
      <w:t xml:space="preserve">  ·  Procédure</w:t>
    </w:r>
    <w:r>
      <w:rPr>
        <w:rFonts w:ascii="IBM Plex Sans" w:cs="IBM Plex Sans" w:eastAsia="IBM Plex Sans" w:hAnsi="IBM Plex Sans"/>
        <w:color w:val="666666"/>
        <w:sz w:val="18"/>
        <w:szCs w:val="18"/>
      </w:rPr>
      <w:t xml:space="preserve">	HL-PRC-004 · v0.1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360"/>
      </w:pPr>
      <w:rPr>
        <w:b/>
        <w:bCs/>
        <w:color w:val="1B283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w:cs="IBM Plex Sans" w:eastAsia="IBM Plex Sans" w:hAnsi="IBM Plex Sans"/>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2026-08-23T22:08:00.363Z</dcterms:created>
  <dcterms:modified xsi:type="dcterms:W3CDTF">2026-08-23T22:08:00.364Z</dcterms:modified>
</cp:coreProperties>
</file>

<file path=docProps/custom.xml><?xml version="1.0" encoding="utf-8"?>
<Properties xmlns="http://schemas.openxmlformats.org/officeDocument/2006/custom-properties" xmlns:vt="http://schemas.openxmlformats.org/officeDocument/2006/docPropsVTypes"/>
</file>