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shd w:fill="0F1B2A" w:color="auto" w:val="clear"/>
            <w:tcMar>
              <w:top w:type="dxa" w:w="190"/>
              <w:left w:type="dxa" w:w="200"/>
              <w:bottom w:type="dxa" w:w="190"/>
              <w:right w:type="dxa" w:w="200"/>
            </w:tcMar>
          </w:tcPr>
          <w:p>
            <w:pPr>
              <w:spacing w:after="0"/>
            </w:pPr>
            <w:r>
              <w:rPr>
                <w:rFonts w:ascii="IBM Plex Sans" w:cs="IBM Plex Sans" w:eastAsia="IBM Plex Sans" w:hAnsi="IBM Plex Sans"/>
                <w:b/>
                <w:bCs/>
                <w:i w:val="false"/>
                <w:iCs w:val="false"/>
                <w:caps w:val="false"/>
                <w:color w:val="FFFFFF"/>
                <w:spacing w:val="90"/>
                <w:sz w:val="26"/>
                <w:szCs w:val="26"/>
              </w:rPr>
              <w:t xml:space="preserve">HOMELAB</w:t>
            </w:r>
            <w:r>
              <w:rPr>
                <w:rFonts w:ascii="IBM Plex Sans" w:cs="IBM Plex Sans" w:eastAsia="IBM Plex Sans" w:hAnsi="IBM Plex Sans"/>
                <w:b w:val="false"/>
                <w:bCs w:val="false"/>
                <w:i w:val="false"/>
                <w:iCs w:val="false"/>
                <w:caps w:val="false"/>
                <w:color w:val="A8B8C8"/>
                <w:sz w:val="18"/>
                <w:szCs w:val="18"/>
              </w:rPr>
              <w:t xml:space="preserve">     Infrastructure auto-hébergée</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320"/>
      </w:pPr>
      <w:r>
        <w:rPr>
          <w:rFonts w:ascii="IBM Plex Sans" w:cs="IBM Plex Sans" w:eastAsia="IBM Plex Sans" w:hAnsi="IBM Plex Sans"/>
          <w:b w:val="false"/>
          <w:bCs w:val="false"/>
          <w:i w:val="false"/>
          <w:iCs w:val="false"/>
          <w:caps w:val="false"/>
          <w:color w:val="1A1A1A"/>
          <w:sz w:val="2"/>
          <w:szCs w:val="2"/>
        </w:rPr>
        <w:t xml:space="preserve"> </w:t>
      </w:r>
    </w:p>
    <w:p>
      <w:pPr>
        <w:pBdr>
          <w:bottom w:val="single" w:color="B57508" w:sz="6"/>
        </w:pBdr>
        <w:spacing w:after="240"/>
      </w:pPr>
      <w:r>
        <w:rPr>
          <w:rFonts w:ascii="IBM Plex Sans" w:cs="IBM Plex Sans" w:eastAsia="IBM Plex Sans" w:hAnsi="IBM Plex Sans"/>
          <w:b/>
          <w:bCs/>
          <w:i w:val="false"/>
          <w:iCs w:val="false"/>
          <w:caps/>
          <w:color w:val="B57508"/>
          <w:spacing w:val="60"/>
          <w:sz w:val="15"/>
          <w:szCs w:val="15"/>
        </w:rPr>
        <w:t xml:space="preserve">Procédure technique</w:t>
      </w:r>
    </w:p>
    <w:p>
      <w:pPr>
        <w:spacing w:after="100" w:before="360"/>
      </w:pPr>
      <w:r>
        <w:rPr>
          <w:rFonts w:ascii="IBM Plex Sans" w:cs="IBM Plex Sans" w:eastAsia="IBM Plex Sans" w:hAnsi="IBM Plex Sans"/>
          <w:b/>
          <w:bCs/>
          <w:i w:val="false"/>
          <w:iCs w:val="false"/>
          <w:caps w:val="false"/>
          <w:color w:val="0F1B2A"/>
          <w:sz w:val="40"/>
          <w:szCs w:val="40"/>
        </w:rPr>
        <w:t xml:space="preserve">Mise en service d’une grappe de virtualisation à trois nœuds</w:t>
      </w:r>
    </w:p>
    <w:p>
      <w:pPr>
        <w:spacing w:after="360"/>
      </w:pPr>
      <w:r>
        <w:rPr>
          <w:rFonts w:ascii="IBM Plex Sans" w:cs="IBM Plex Sans" w:eastAsia="IBM Plex Sans" w:hAnsi="IBM Plex Sans"/>
          <w:b w:val="false"/>
          <w:bCs w:val="false"/>
          <w:i/>
          <w:iCs/>
          <w:caps w:val="false"/>
          <w:color w:val="5A6673"/>
          <w:sz w:val="21"/>
          <w:szCs w:val="21"/>
        </w:rPr>
        <w:t xml:space="preserve">Installation des hyperviseurs, raccordement au réseau segmenté par étiquetage 802.1Q, constitution de la grappe sur lien d’isolation dédié et paramétrage préalable à tout déploiement d’instance.</w:t>
      </w:r>
    </w:p>
    <w:p>
      <w:pPr>
        <w:spacing w:after="12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single" w:color="0F1B2A" w:sz="4"/>
          <w:left w:val="none" w:color="FFFFFF" w:sz="0"/>
          <w:bottom w:val="single" w:color="0F1B2A" w:sz="4"/>
          <w:right w:val="none" w:color="FFFFFF" w:sz="0"/>
          <w:insideH w:val="single" w:color="C9D2DB" w:sz="4"/>
          <w:insideV w:val="single" w:color="C9D2DB" w:sz="4"/>
        </w:tblBorders>
      </w:tblPr>
      <w:tblGrid>
        <w:gridCol w:w="3120"/>
        <w:gridCol w:w="3120"/>
        <w:gridCol w:w="3120"/>
      </w:tblGrid>
      <w:tr>
        <w:tc>
          <w:tcPr>
            <w:tcW w:type="dxa" w:w="3120"/>
            <w:shd w:fill="FFFFFF" w:color="auto" w:val="clear"/>
            <w:tcMar>
              <w:top w:type="dxa" w:w="110"/>
              <w:left w:type="dxa" w:w="140"/>
              <w:bottom w:type="dxa" w:w="110"/>
              <w:right w:type="dxa" w:w="140"/>
            </w:tcMar>
          </w:tcPr>
          <w:p>
            <w:pPr>
              <w:spacing w:after="40"/>
            </w:pPr>
            <w:r>
              <w:rPr>
                <w:rFonts w:ascii="IBM Plex Sans" w:cs="IBM Plex Sans" w:eastAsia="IBM Plex Sans" w:hAnsi="IBM Plex Sans"/>
                <w:b/>
                <w:bCs/>
                <w:i w:val="false"/>
                <w:iCs w:val="false"/>
                <w:caps/>
                <w:color w:val="5A6673"/>
                <w:spacing w:val="50"/>
                <w:sz w:val="15"/>
                <w:szCs w:val="15"/>
              </w:rPr>
              <w:t xml:space="preserve">Référence</w:t>
            </w:r>
          </w:p>
          <w:p>
            <w:pPr>
              <w:spacing w:after="0"/>
            </w:pPr>
            <w:r>
              <w:rPr>
                <w:rFonts w:ascii="IBM Plex Mono" w:cs="IBM Plex Mono" w:eastAsia="IBM Plex Mono" w:hAnsi="IBM Plex Mono"/>
                <w:b/>
                <w:bCs/>
                <w:i w:val="false"/>
                <w:iCs w:val="false"/>
                <w:caps w:val="false"/>
                <w:color w:val="0F1B2A"/>
                <w:sz w:val="19"/>
                <w:szCs w:val="19"/>
              </w:rPr>
              <w:t xml:space="preserve">HL-PRC-003</w:t>
            </w:r>
          </w:p>
        </w:tc>
        <w:tc>
          <w:tcPr>
            <w:tcW w:type="dxa" w:w="3120"/>
            <w:shd w:fill="FFFFFF" w:color="auto" w:val="clear"/>
            <w:tcMar>
              <w:top w:type="dxa" w:w="110"/>
              <w:left w:type="dxa" w:w="140"/>
              <w:bottom w:type="dxa" w:w="110"/>
              <w:right w:type="dxa" w:w="140"/>
            </w:tcMar>
          </w:tcPr>
          <w:p>
            <w:pPr>
              <w:spacing w:after="40"/>
            </w:pPr>
            <w:r>
              <w:rPr>
                <w:rFonts w:ascii="IBM Plex Sans" w:cs="IBM Plex Sans" w:eastAsia="IBM Plex Sans" w:hAnsi="IBM Plex Sans"/>
                <w:b/>
                <w:bCs/>
                <w:i w:val="false"/>
                <w:iCs w:val="false"/>
                <w:caps/>
                <w:color w:val="5A6673"/>
                <w:spacing w:val="50"/>
                <w:sz w:val="15"/>
                <w:szCs w:val="15"/>
              </w:rPr>
              <w:t xml:space="preserve">Version</w:t>
            </w:r>
          </w:p>
          <w:p>
            <w:pPr>
              <w:spacing w:after="0"/>
            </w:pPr>
            <w:r>
              <w:rPr>
                <w:rFonts w:ascii="IBM Plex Mono" w:cs="IBM Plex Mono" w:eastAsia="IBM Plex Mono" w:hAnsi="IBM Plex Mono"/>
                <w:b/>
                <w:bCs/>
                <w:i w:val="false"/>
                <w:iCs w:val="false"/>
                <w:caps w:val="false"/>
                <w:color w:val="0F1B2A"/>
                <w:sz w:val="19"/>
                <w:szCs w:val="19"/>
              </w:rPr>
              <w:t xml:space="preserve">0.1</w:t>
            </w:r>
          </w:p>
        </w:tc>
        <w:tc>
          <w:tcPr>
            <w:tcW w:type="dxa" w:w="3120"/>
            <w:shd w:fill="FFFFFF" w:color="auto" w:val="clear"/>
            <w:tcMar>
              <w:top w:type="dxa" w:w="110"/>
              <w:left w:type="dxa" w:w="140"/>
              <w:bottom w:type="dxa" w:w="110"/>
              <w:right w:type="dxa" w:w="140"/>
            </w:tcMar>
          </w:tcPr>
          <w:p>
            <w:pPr>
              <w:spacing w:after="40"/>
            </w:pPr>
            <w:r>
              <w:rPr>
                <w:rFonts w:ascii="IBM Plex Sans" w:cs="IBM Plex Sans" w:eastAsia="IBM Plex Sans" w:hAnsi="IBM Plex Sans"/>
                <w:b/>
                <w:bCs/>
                <w:i w:val="false"/>
                <w:iCs w:val="false"/>
                <w:caps/>
                <w:color w:val="5A6673"/>
                <w:spacing w:val="50"/>
                <w:sz w:val="15"/>
                <w:szCs w:val="15"/>
              </w:rPr>
              <w:t xml:space="preserve">Date d’édition</w:t>
            </w:r>
          </w:p>
          <w:p>
            <w:pPr>
              <w:spacing w:after="0"/>
            </w:pPr>
            <w:r>
              <w:rPr>
                <w:rFonts w:ascii="IBM Plex Mono" w:cs="IBM Plex Mono" w:eastAsia="IBM Plex Mono" w:hAnsi="IBM Plex Mono"/>
                <w:b/>
                <w:bCs/>
                <w:i w:val="false"/>
                <w:iCs w:val="false"/>
                <w:caps w:val="false"/>
                <w:color w:val="0F1B2A"/>
                <w:sz w:val="19"/>
                <w:szCs w:val="19"/>
              </w:rPr>
              <w:t xml:space="preserve">23/08/2026</w:t>
            </w:r>
          </w:p>
        </w:tc>
      </w:tr>
      <w:tr>
        <w:tc>
          <w:tcPr>
            <w:tcW w:type="dxa" w:w="3120"/>
            <w:shd w:fill="FFFFFF" w:color="auto" w:val="clear"/>
            <w:tcMar>
              <w:top w:type="dxa" w:w="110"/>
              <w:left w:type="dxa" w:w="140"/>
              <w:bottom w:type="dxa" w:w="110"/>
              <w:right w:type="dxa" w:w="140"/>
            </w:tcMar>
          </w:tcPr>
          <w:p>
            <w:pPr>
              <w:spacing w:after="40"/>
            </w:pPr>
            <w:r>
              <w:rPr>
                <w:rFonts w:ascii="IBM Plex Sans" w:cs="IBM Plex Sans" w:eastAsia="IBM Plex Sans" w:hAnsi="IBM Plex Sans"/>
                <w:b/>
                <w:bCs/>
                <w:i w:val="false"/>
                <w:iCs w:val="false"/>
                <w:caps/>
                <w:color w:val="5A6673"/>
                <w:spacing w:val="50"/>
                <w:sz w:val="15"/>
                <w:szCs w:val="15"/>
              </w:rPr>
              <w:t xml:space="preserve">Auteur</w:t>
            </w:r>
          </w:p>
          <w:p>
            <w:pPr>
              <w:spacing w:after="0"/>
            </w:pPr>
            <w:r>
              <w:rPr>
                <w:rFonts w:ascii="IBM Plex Sans" w:cs="IBM Plex Sans" w:eastAsia="IBM Plex Sans" w:hAnsi="IBM Plex Sans"/>
                <w:b/>
                <w:bCs/>
                <w:i w:val="false"/>
                <w:iCs w:val="false"/>
                <w:caps w:val="false"/>
                <w:color w:val="0F1B2A"/>
                <w:sz w:val="19"/>
                <w:szCs w:val="19"/>
              </w:rPr>
              <w:t xml:space="preserve">Administrateur système et réseaux</w:t>
            </w:r>
          </w:p>
        </w:tc>
        <w:tc>
          <w:tcPr>
            <w:tcW w:type="dxa" w:w="3120"/>
            <w:shd w:fill="FFFFFF" w:color="auto" w:val="clear"/>
            <w:tcMar>
              <w:top w:type="dxa" w:w="110"/>
              <w:left w:type="dxa" w:w="140"/>
              <w:bottom w:type="dxa" w:w="110"/>
              <w:right w:type="dxa" w:w="140"/>
            </w:tcMar>
          </w:tcPr>
          <w:p>
            <w:pPr>
              <w:spacing w:after="40"/>
            </w:pPr>
            <w:r>
              <w:rPr>
                <w:rFonts w:ascii="IBM Plex Sans" w:cs="IBM Plex Sans" w:eastAsia="IBM Plex Sans" w:hAnsi="IBM Plex Sans"/>
                <w:b/>
                <w:bCs/>
                <w:i w:val="false"/>
                <w:iCs w:val="false"/>
                <w:caps/>
                <w:color w:val="5A6673"/>
                <w:spacing w:val="50"/>
                <w:sz w:val="15"/>
                <w:szCs w:val="15"/>
              </w:rPr>
              <w:t xml:space="preserve">Classification</w:t>
            </w:r>
          </w:p>
          <w:p>
            <w:pPr>
              <w:spacing w:after="0"/>
            </w:pPr>
            <w:r>
              <w:rPr>
                <w:rFonts w:ascii="IBM Plex Sans" w:cs="IBM Plex Sans" w:eastAsia="IBM Plex Sans" w:hAnsi="IBM Plex Sans"/>
                <w:b/>
                <w:bCs/>
                <w:i w:val="false"/>
                <w:iCs w:val="false"/>
                <w:caps w:val="false"/>
                <w:color w:val="0F1B2A"/>
                <w:sz w:val="19"/>
                <w:szCs w:val="19"/>
              </w:rPr>
              <w:t xml:space="preserve">Interne</w:t>
            </w:r>
          </w:p>
        </w:tc>
        <w:tc>
          <w:tcPr>
            <w:tcW w:type="dxa" w:w="3120"/>
            <w:shd w:fill="FFFFFF" w:color="auto" w:val="clear"/>
            <w:tcMar>
              <w:top w:type="dxa" w:w="110"/>
              <w:left w:type="dxa" w:w="140"/>
              <w:bottom w:type="dxa" w:w="110"/>
              <w:right w:type="dxa" w:w="140"/>
            </w:tcMar>
          </w:tcPr>
          <w:p>
            <w:pPr>
              <w:spacing w:after="40"/>
            </w:pPr>
            <w:r>
              <w:rPr>
                <w:rFonts w:ascii="IBM Plex Sans" w:cs="IBM Plex Sans" w:eastAsia="IBM Plex Sans" w:hAnsi="IBM Plex Sans"/>
                <w:b/>
                <w:bCs/>
                <w:i w:val="false"/>
                <w:iCs w:val="false"/>
                <w:caps/>
                <w:color w:val="5A6673"/>
                <w:spacing w:val="50"/>
                <w:sz w:val="15"/>
                <w:szCs w:val="15"/>
              </w:rPr>
              <w:t xml:space="preserve">Statut</w:t>
            </w:r>
          </w:p>
          <w:p>
            <w:pPr>
              <w:spacing w:after="0"/>
            </w:pPr>
            <w:r>
              <w:rPr>
                <w:rFonts w:ascii="IBM Plex Sans" w:cs="IBM Plex Sans" w:eastAsia="IBM Plex Sans" w:hAnsi="IBM Plex Sans"/>
                <w:b/>
                <w:bCs/>
                <w:i w:val="false"/>
                <w:iCs w:val="false"/>
                <w:caps w:val="false"/>
                <w:color w:val="0F1B2A"/>
                <w:sz w:val="19"/>
                <w:szCs w:val="19"/>
              </w:rPr>
              <w:t xml:space="preserve">Brouillon</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420"/>
      </w:pPr>
      <w:r>
        <w:rPr>
          <w:rFonts w:ascii="IBM Plex Sans" w:cs="IBM Plex Sans" w:eastAsia="IBM Plex Sans" w:hAnsi="IBM Plex Sans"/>
          <w:b w:val="false"/>
          <w:bCs w:val="false"/>
          <w:i w:val="false"/>
          <w:iCs w:val="false"/>
          <w:caps w:val="false"/>
          <w:color w:val="1A1A1A"/>
          <w:sz w:val="2"/>
          <w:szCs w:val="2"/>
        </w:rPr>
        <w:t xml:space="preserve"> </w:t>
      </w:r>
    </w:p>
    <w:p>
      <w:pPr>
        <w:pBdr>
          <w:bottom w:val="single" w:color="B57508" w:sz="6"/>
        </w:pBdr>
        <w:spacing w:after="140"/>
      </w:pPr>
      <w:r>
        <w:rPr>
          <w:rFonts w:ascii="IBM Plex Sans" w:cs="IBM Plex Sans" w:eastAsia="IBM Plex Sans" w:hAnsi="IBM Plex Sans"/>
          <w:b/>
          <w:bCs/>
          <w:i w:val="false"/>
          <w:iCs w:val="false"/>
          <w:caps/>
          <w:color w:val="B57508"/>
          <w:spacing w:val="60"/>
          <w:sz w:val="15"/>
          <w:szCs w:val="15"/>
        </w:rPr>
        <w:t xml:space="preserve">Sommaire</w:t>
      </w:r>
    </w:p>
    <w:p>
      <w:pPr>
        <w:spacing w:after="200" w:before="120"/>
      </w:pPr>
      <w:r>
        <w:rPr>
          <w:rFonts w:ascii="IBM Plex Sans" w:cs="IBM Plex Sans" w:eastAsia="IBM Plex Sans" w:hAnsi="IBM Plex Sans"/>
          <w:b/>
          <w:bCs/>
          <w:i w:val="false"/>
          <w:iCs w:val="false"/>
          <w:caps w:val="false"/>
          <w:color w:val="0F1B2A"/>
          <w:sz w:val="19"/>
          <w:szCs w:val="19"/>
        </w:rPr>
        <w:t xml:space="preserve">Mise en service d’une grappe de virtualisation à trois nœuds</w:t>
      </w:r>
      <w:r>
        <w:rPr>
          <w:rFonts w:ascii="IBM Plex Mono" w:cs="IBM Plex Mono" w:eastAsia="IBM Plex Mono" w:hAnsi="IBM Plex Mono"/>
          <w:b w:val="false"/>
          <w:bCs w:val="false"/>
          <w:i w:val="false"/>
          <w:iCs w:val="false"/>
          <w:caps w:val="false"/>
          <w:color w:val="5A6673"/>
          <w:sz w:val="19"/>
          <w:szCs w:val="19"/>
        </w:rPr>
        <w:t xml:space="preserve">  —  HL-PRC-003</w:t>
      </w:r>
    </w:p>
    <w:p>
      <w:pPr>
        <w:tabs>
          <w:tab w:val="right" w:pos="9026" w:leader="dot"/>
        </w:tabs>
        <w:spacing w:after="80"/>
      </w:pPr>
      <w:r>
        <w:rPr>
          <w:rFonts w:ascii="IBM Plex Sans" w:cs="IBM Plex Sans" w:eastAsia="IBM Plex Sans" w:hAnsi="IBM Plex Sans"/>
          <w:b/>
          <w:bCs/>
          <w:i w:val="false"/>
          <w:iCs w:val="false"/>
          <w:caps w:val="false"/>
          <w:color w:val="B57508"/>
          <w:sz w:val="19"/>
          <w:szCs w:val="19"/>
        </w:rPr>
        <w:t xml:space="preserve">1   </w:t>
      </w:r>
      <w:r>
        <w:rPr>
          <w:rFonts w:ascii="IBM Plex Sans" w:cs="IBM Plex Sans" w:eastAsia="IBM Plex Sans" w:hAnsi="IBM Plex Sans"/>
          <w:b w:val="false"/>
          <w:bCs w:val="false"/>
          <w:i w:val="false"/>
          <w:iCs w:val="false"/>
          <w:caps w:val="false"/>
          <w:color w:val="1E3450"/>
          <w:sz w:val="19"/>
          <w:szCs w:val="19"/>
        </w:rPr>
        <w:t xml:space="preserve">Objet</w:t>
      </w:r>
    </w:p>
    <w:p>
      <w:pPr>
        <w:tabs>
          <w:tab w:val="right" w:pos="9026" w:leader="dot"/>
        </w:tabs>
        <w:spacing w:after="80"/>
      </w:pPr>
      <w:r>
        <w:rPr>
          <w:rFonts w:ascii="IBM Plex Sans" w:cs="IBM Plex Sans" w:eastAsia="IBM Plex Sans" w:hAnsi="IBM Plex Sans"/>
          <w:b/>
          <w:bCs/>
          <w:i w:val="false"/>
          <w:iCs w:val="false"/>
          <w:caps w:val="false"/>
          <w:color w:val="B57508"/>
          <w:sz w:val="19"/>
          <w:szCs w:val="19"/>
        </w:rPr>
        <w:t xml:space="preserve">2   </w:t>
      </w:r>
      <w:r>
        <w:rPr>
          <w:rFonts w:ascii="IBM Plex Sans" w:cs="IBM Plex Sans" w:eastAsia="IBM Plex Sans" w:hAnsi="IBM Plex Sans"/>
          <w:b w:val="false"/>
          <w:bCs w:val="false"/>
          <w:i w:val="false"/>
          <w:iCs w:val="false"/>
          <w:caps w:val="false"/>
          <w:color w:val="1E3450"/>
          <w:sz w:val="19"/>
          <w:szCs w:val="19"/>
        </w:rPr>
        <w:t xml:space="preserve">Périmètre et prérequis</w:t>
      </w:r>
    </w:p>
    <w:p>
      <w:pPr>
        <w:tabs>
          <w:tab w:val="right" w:pos="9026" w:leader="dot"/>
        </w:tabs>
        <w:spacing w:after="80"/>
      </w:pPr>
      <w:r>
        <w:rPr>
          <w:rFonts w:ascii="IBM Plex Sans" w:cs="IBM Plex Sans" w:eastAsia="IBM Plex Sans" w:hAnsi="IBM Plex Sans"/>
          <w:b/>
          <w:bCs/>
          <w:i w:val="false"/>
          <w:iCs w:val="false"/>
          <w:caps w:val="false"/>
          <w:color w:val="B57508"/>
          <w:sz w:val="19"/>
          <w:szCs w:val="19"/>
        </w:rPr>
        <w:t xml:space="preserve">3   </w:t>
      </w:r>
      <w:r>
        <w:rPr>
          <w:rFonts w:ascii="IBM Plex Sans" w:cs="IBM Plex Sans" w:eastAsia="IBM Plex Sans" w:hAnsi="IBM Plex Sans"/>
          <w:b w:val="false"/>
          <w:bCs w:val="false"/>
          <w:i w:val="false"/>
          <w:iCs w:val="false"/>
          <w:caps w:val="false"/>
          <w:color w:val="1E3450"/>
          <w:sz w:val="19"/>
          <w:szCs w:val="19"/>
        </w:rPr>
        <w:t xml:space="preserve">Rôles et responsabilités</w:t>
      </w:r>
    </w:p>
    <w:p>
      <w:pPr>
        <w:tabs>
          <w:tab w:val="right" w:pos="9026" w:leader="dot"/>
        </w:tabs>
        <w:spacing w:after="80"/>
      </w:pPr>
      <w:r>
        <w:rPr>
          <w:rFonts w:ascii="IBM Plex Sans" w:cs="IBM Plex Sans" w:eastAsia="IBM Plex Sans" w:hAnsi="IBM Plex Sans"/>
          <w:b/>
          <w:bCs/>
          <w:i w:val="false"/>
          <w:iCs w:val="false"/>
          <w:caps w:val="false"/>
          <w:color w:val="B57508"/>
          <w:sz w:val="19"/>
          <w:szCs w:val="19"/>
        </w:rPr>
        <w:t xml:space="preserve">4   </w:t>
      </w:r>
      <w:r>
        <w:rPr>
          <w:rFonts w:ascii="IBM Plex Sans" w:cs="IBM Plex Sans" w:eastAsia="IBM Plex Sans" w:hAnsi="IBM Plex Sans"/>
          <w:b w:val="false"/>
          <w:bCs w:val="false"/>
          <w:i w:val="false"/>
          <w:iCs w:val="false"/>
          <w:caps w:val="false"/>
          <w:color w:val="1E3450"/>
          <w:sz w:val="19"/>
          <w:szCs w:val="19"/>
        </w:rPr>
        <w:t xml:space="preserve">Procédure de mise en service</w:t>
      </w:r>
    </w:p>
    <w:p>
      <w:pPr>
        <w:tabs>
          <w:tab w:val="right" w:pos="9026" w:leader="dot"/>
        </w:tabs>
        <w:spacing w:after="80"/>
      </w:pPr>
      <w:r>
        <w:rPr>
          <w:rFonts w:ascii="IBM Plex Sans" w:cs="IBM Plex Sans" w:eastAsia="IBM Plex Sans" w:hAnsi="IBM Plex Sans"/>
          <w:b/>
          <w:bCs/>
          <w:i w:val="false"/>
          <w:iCs w:val="false"/>
          <w:caps w:val="false"/>
          <w:color w:val="B57508"/>
          <w:sz w:val="19"/>
          <w:szCs w:val="19"/>
        </w:rPr>
        <w:t xml:space="preserve">5   </w:t>
      </w:r>
      <w:r>
        <w:rPr>
          <w:rFonts w:ascii="IBM Plex Sans" w:cs="IBM Plex Sans" w:eastAsia="IBM Plex Sans" w:hAnsi="IBM Plex Sans"/>
          <w:b w:val="false"/>
          <w:bCs w:val="false"/>
          <w:i w:val="false"/>
          <w:iCs w:val="false"/>
          <w:caps w:val="false"/>
          <w:color w:val="1E3450"/>
          <w:sz w:val="19"/>
          <w:szCs w:val="19"/>
        </w:rPr>
        <w:t xml:space="preserve">Intégration réseau</w:t>
      </w:r>
    </w:p>
    <w:p>
      <w:pPr>
        <w:tabs>
          <w:tab w:val="right" w:pos="9026" w:leader="dot"/>
        </w:tabs>
        <w:spacing w:after="80"/>
      </w:pPr>
      <w:r>
        <w:rPr>
          <w:rFonts w:ascii="IBM Plex Sans" w:cs="IBM Plex Sans" w:eastAsia="IBM Plex Sans" w:hAnsi="IBM Plex Sans"/>
          <w:b/>
          <w:bCs/>
          <w:i w:val="false"/>
          <w:iCs w:val="false"/>
          <w:caps w:val="false"/>
          <w:color w:val="B57508"/>
          <w:sz w:val="19"/>
          <w:szCs w:val="19"/>
        </w:rPr>
        <w:t xml:space="preserve">6   </w:t>
      </w:r>
      <w:r>
        <w:rPr>
          <w:rFonts w:ascii="IBM Plex Sans" w:cs="IBM Plex Sans" w:eastAsia="IBM Plex Sans" w:hAnsi="IBM Plex Sans"/>
          <w:b w:val="false"/>
          <w:bCs w:val="false"/>
          <w:i w:val="false"/>
          <w:iCs w:val="false"/>
          <w:caps w:val="false"/>
          <w:color w:val="1E3450"/>
          <w:sz w:val="19"/>
          <w:szCs w:val="19"/>
        </w:rPr>
        <w:t xml:space="preserve">Durcissement et sécurité</w:t>
      </w:r>
    </w:p>
    <w:p>
      <w:pPr>
        <w:tabs>
          <w:tab w:val="right" w:pos="9026" w:leader="dot"/>
        </w:tabs>
        <w:spacing w:after="80"/>
      </w:pPr>
      <w:r>
        <w:rPr>
          <w:rFonts w:ascii="IBM Plex Sans" w:cs="IBM Plex Sans" w:eastAsia="IBM Plex Sans" w:hAnsi="IBM Plex Sans"/>
          <w:b/>
          <w:bCs/>
          <w:i w:val="false"/>
          <w:iCs w:val="false"/>
          <w:caps w:val="false"/>
          <w:color w:val="B57508"/>
          <w:sz w:val="19"/>
          <w:szCs w:val="19"/>
        </w:rPr>
        <w:t xml:space="preserve">7   </w:t>
      </w:r>
      <w:r>
        <w:rPr>
          <w:rFonts w:ascii="IBM Plex Sans" w:cs="IBM Plex Sans" w:eastAsia="IBM Plex Sans" w:hAnsi="IBM Plex Sans"/>
          <w:b w:val="false"/>
          <w:bCs w:val="false"/>
          <w:i w:val="false"/>
          <w:iCs w:val="false"/>
          <w:caps w:val="false"/>
          <w:color w:val="1E3450"/>
          <w:sz w:val="19"/>
          <w:szCs w:val="19"/>
        </w:rPr>
        <w:t xml:space="preserve">Vérifications finales</w:t>
      </w:r>
    </w:p>
    <w:p>
      <w:pPr>
        <w:tabs>
          <w:tab w:val="right" w:pos="9026" w:leader="dot"/>
        </w:tabs>
        <w:spacing w:after="80"/>
      </w:pPr>
      <w:r>
        <w:rPr>
          <w:rFonts w:ascii="IBM Plex Sans" w:cs="IBM Plex Sans" w:eastAsia="IBM Plex Sans" w:hAnsi="IBM Plex Sans"/>
          <w:b/>
          <w:bCs/>
          <w:i w:val="false"/>
          <w:iCs w:val="false"/>
          <w:caps w:val="false"/>
          <w:color w:val="B57508"/>
          <w:sz w:val="19"/>
          <w:szCs w:val="19"/>
        </w:rPr>
        <w:t xml:space="preserve">8   </w:t>
      </w:r>
      <w:r>
        <w:rPr>
          <w:rFonts w:ascii="IBM Plex Sans" w:cs="IBM Plex Sans" w:eastAsia="IBM Plex Sans" w:hAnsi="IBM Plex Sans"/>
          <w:b w:val="false"/>
          <w:bCs w:val="false"/>
          <w:i w:val="false"/>
          <w:iCs w:val="false"/>
          <w:caps w:val="false"/>
          <w:color w:val="1E3450"/>
          <w:sz w:val="19"/>
          <w:szCs w:val="19"/>
        </w:rPr>
        <w:t xml:space="preserve">Références et historique des révisions</w:t>
      </w:r>
    </w:p>
    <w:p>
      <w:pPr>
        <w:pStyle w:val="Heading1"/>
        <w:pBdr>
          <w:bottom w:val="single" w:color="C9D2DB" w:sz="6"/>
        </w:pBdr>
        <w:spacing w:after="180" w:before="420"/>
      </w:pPr>
      <w:r>
        <w:rPr>
          <w:rFonts w:ascii="IBM Plex Sans" w:cs="IBM Plex Sans" w:eastAsia="IBM Plex Sans" w:hAnsi="IBM Plex Sans"/>
          <w:b/>
          <w:bCs/>
          <w:i w:val="false"/>
          <w:iCs w:val="false"/>
          <w:caps w:val="false"/>
          <w:color w:val="B57508"/>
          <w:sz w:val="26"/>
          <w:szCs w:val="26"/>
        </w:rPr>
        <w:t xml:space="preserve">1   </w:t>
      </w:r>
      <w:r>
        <w:rPr>
          <w:rFonts w:ascii="IBM Plex Sans" w:cs="IBM Plex Sans" w:eastAsia="IBM Plex Sans" w:hAnsi="IBM Plex Sans"/>
          <w:b/>
          <w:bCs/>
          <w:i w:val="false"/>
          <w:iCs w:val="false"/>
          <w:caps w:val="false"/>
          <w:color w:val="0F1B2A"/>
          <w:sz w:val="26"/>
          <w:szCs w:val="26"/>
        </w:rPr>
        <w:t xml:space="preserve">Objet</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Cette procédure décrit la mise en service d’une grappe de virtualisation composée de trois hyperviseurs physiques, depuis l’installation du système jusqu’à l’obtention d’un ensemble cohérent, quorate et administrable, prêt à recevoir des machines virtuelles et des conteneurs.</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Elle couvre le raccordement des nœuds à un réseau segmenté par étiquetage 802.1Q, la séparation du trafic de cohérence de grappe sur un réseau non routé, la déclaration des espaces de stockage et le paramétrage minimal exigé avant tout déploiement. L’ordre des opérations est contraignant : plusieurs paramètres deviennent immuables une fois la grappe constituée.</w:t>
      </w:r>
    </w:p>
    <w:p>
      <w:pPr>
        <w:pStyle w:val="Heading1"/>
        <w:pBdr>
          <w:bottom w:val="single" w:color="C9D2DB" w:sz="6"/>
        </w:pBdr>
        <w:spacing w:after="180" w:before="420"/>
      </w:pPr>
      <w:r>
        <w:rPr>
          <w:rFonts w:ascii="IBM Plex Sans" w:cs="IBM Plex Sans" w:eastAsia="IBM Plex Sans" w:hAnsi="IBM Plex Sans"/>
          <w:b/>
          <w:bCs/>
          <w:i w:val="false"/>
          <w:iCs w:val="false"/>
          <w:caps w:val="false"/>
          <w:color w:val="B57508"/>
          <w:sz w:val="26"/>
          <w:szCs w:val="26"/>
        </w:rPr>
        <w:t xml:space="preserve">2   </w:t>
      </w:r>
      <w:r>
        <w:rPr>
          <w:rFonts w:ascii="IBM Plex Sans" w:cs="IBM Plex Sans" w:eastAsia="IBM Plex Sans" w:hAnsi="IBM Plex Sans"/>
          <w:b/>
          <w:bCs/>
          <w:i w:val="false"/>
          <w:iCs w:val="false"/>
          <w:caps w:val="false"/>
          <w:color w:val="0F1B2A"/>
          <w:sz w:val="26"/>
          <w:szCs w:val="26"/>
        </w:rPr>
        <w:t xml:space="preserve">Périmètre et prérequis</w:t>
      </w:r>
    </w:p>
    <w:p>
      <w:pPr>
        <w:pStyle w:val="Heading3"/>
        <w:spacing w:after="100" w:before="220"/>
      </w:pPr>
      <w:r>
        <w:rPr>
          <w:rFonts w:ascii="IBM Plex Sans" w:cs="IBM Plex Sans" w:eastAsia="IBM Plex Sans" w:hAnsi="IBM Plex Sans"/>
          <w:b/>
          <w:bCs/>
          <w:i w:val="false"/>
          <w:iCs w:val="false"/>
          <w:caps w:val="false"/>
          <w:color w:val="1E3450"/>
          <w:sz w:val="20"/>
          <w:szCs w:val="20"/>
        </w:rPr>
        <w:t xml:space="preserve">Périmètre</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Sont couverts : l’installation des trois hyperviseurs, leur nommage, la configuration du pont réseau et des interfaces étiquetées, la modification correspondante sur le commutateur d’accès, la bascule des dépôts logiciels, la création de la grappe avec deux liens de cohérence, la déclaration des volumes de stockage locaux et la création du groupe d’administration.</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Sont exclus : le déploiement des instances, la sauvegarde dédiée, la haute disponibilité, la réplication entre nœuds, la synchronisation horaire et le raccordement à un annuaire externe. Ces sujets relèvent de procédures distinctes.</w:t>
      </w:r>
    </w:p>
    <w:p>
      <w:pPr>
        <w:pStyle w:val="Heading3"/>
        <w:spacing w:after="100" w:before="220"/>
      </w:pPr>
      <w:r>
        <w:rPr>
          <w:rFonts w:ascii="IBM Plex Sans" w:cs="IBM Plex Sans" w:eastAsia="IBM Plex Sans" w:hAnsi="IBM Plex Sans"/>
          <w:b/>
          <w:bCs/>
          <w:i w:val="false"/>
          <w:iCs w:val="false"/>
          <w:caps w:val="false"/>
          <w:color w:val="1E3450"/>
          <w:sz w:val="20"/>
          <w:szCs w:val="20"/>
        </w:rPr>
        <w:t xml:space="preserve">Prérequis</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Trois machines physiques disposant chacune d’au moins une interface réseau exploitable et d’un disque système dédié. Les versions installées doivent être strictement identiques.</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Un commutateur administrable capable d’étiquetage 802.1Q, déjà configuré avec les réseaux virtuels cibles et raccordé au routeur assurant le routage inter-segments.</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Un routeur ou pare-feu portant la passerelle du segment d’administration.</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Un poste d’administration raccordé au segment d’administration, sur un port distinct de ceux des hyperviseurs.</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Un accès console physique ou série à chacun des trois nœuds, disponible pendant toute la durée de l’intervention.</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Une clé publique d’administration, à déposer sur les nœuds dès l’installation.</w:t>
      </w:r>
    </w:p>
    <w:tbl>
      <w:tblPr>
        <w:tblW w:type="dxa" w:w="9360"/>
        <w:tblBorders>
          <w:top w:val="none" w:color="FFFFFF" w:sz="0"/>
          <w:left w:val="single" w:color="B57508"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B57508"/>
                <w:spacing w:val="40"/>
                <w:sz w:val="16"/>
                <w:szCs w:val="16"/>
              </w:rPr>
              <w:t xml:space="preserve">ATTENTION — </w:t>
            </w:r>
            <w:r>
              <w:rPr>
                <w:rFonts w:ascii="IBM Plex Sans" w:cs="IBM Plex Sans" w:eastAsia="IBM Plex Sans" w:hAnsi="IBM Plex Sans"/>
                <w:b/>
                <w:bCs/>
                <w:i w:val="false"/>
                <w:iCs w:val="false"/>
                <w:caps w:val="false"/>
                <w:color w:val="0F1B2A"/>
                <w:sz w:val="19"/>
                <w:szCs w:val="19"/>
              </w:rPr>
              <w:t xml:space="preserve">La console n’est pas optionnelle.</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Les étapes 4.3 à 4.5 modifient l’adressage de l’interface d’administration. Une erreur de concordance entre la configuration du nœud et celle du port de commutation rend l’équipement injoignable par le réseau. Sans accès console, le seul recours est la réinstallation.</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3"/>
        <w:spacing w:after="100" w:before="220"/>
      </w:pPr>
      <w:r>
        <w:rPr>
          <w:rFonts w:ascii="IBM Plex Sans" w:cs="IBM Plex Sans" w:eastAsia="IBM Plex Sans" w:hAnsi="IBM Plex Sans"/>
          <w:b/>
          <w:bCs/>
          <w:i w:val="false"/>
          <w:iCs w:val="false"/>
          <w:caps w:val="false"/>
          <w:color w:val="1E3450"/>
          <w:sz w:val="20"/>
          <w:szCs w:val="20"/>
        </w:rPr>
        <w:t xml:space="preserve">Paramètres de la procédure</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Le corps de la procédure ne contient aucune valeur en dur. Chaque valeur propre à une installation est déclarée ci-dessous et référencée ensuite par son nom.</w:t>
      </w:r>
    </w:p>
    <w:tbl>
      <w:tblPr>
        <w:tblW w:type="dxa" w:w="9360"/>
        <w:tblBorders>
          <w:top w:val="single" w:color="0F1B2A" w:sz="4"/>
          <w:left w:val="none" w:color="FFFFFF" w:sz="0"/>
          <w:bottom w:val="single" w:color="0F1B2A" w:sz="4"/>
          <w:right w:val="none" w:color="FFFFFF" w:sz="0"/>
          <w:insideH w:val="single" w:color="C9D2DB" w:sz="4"/>
          <w:insideV w:val="none" w:color="FFFFFF" w:sz="0"/>
        </w:tblBorders>
      </w:tblPr>
      <w:tblGrid>
        <w:gridCol w:w="1750"/>
        <w:gridCol w:w="3250"/>
        <w:gridCol w:w="2200"/>
        <w:gridCol w:w="2160"/>
      </w:tblGrid>
      <w:tr>
        <w:trPr>
          <w:tblHeader/>
        </w:trPr>
        <w:tc>
          <w:tcPr>
            <w:tcW w:type="dxa" w:w="175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Paramètre</w:t>
            </w:r>
          </w:p>
        </w:tc>
        <w:tc>
          <w:tcPr>
            <w:tcW w:type="dxa" w:w="325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Description</w:t>
            </w:r>
          </w:p>
        </w:tc>
        <w:tc>
          <w:tcPr>
            <w:tcW w:type="dxa" w:w="22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Exemple</w:t>
            </w:r>
          </w:p>
        </w:tc>
        <w:tc>
          <w:tcPr>
            <w:tcW w:type="dxa" w:w="216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Contrainte</w:t>
            </w:r>
          </w:p>
        </w:tc>
      </w:tr>
      <w:tr>
        <w:tc>
          <w:tcPr>
            <w:tcW w:type="dxa" w:w="175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NOM_GRAPPE</w:t>
            </w:r>
          </w:p>
        </w:tc>
        <w:tc>
          <w:tcPr>
            <w:tcW w:type="dxa" w:w="325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Nom de la grappe</w:t>
            </w:r>
          </w:p>
        </w:tc>
        <w:tc>
          <w:tcPr>
            <w:tcW w:type="dxa" w:w="220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labo</w:t>
            </w:r>
          </w:p>
        </w:tc>
        <w:tc>
          <w:tcPr>
            <w:tcW w:type="dxa" w:w="21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Alphanumérique et tirets. Immuable après création.</w:t>
            </w:r>
          </w:p>
        </w:tc>
      </w:tr>
      <w:tr>
        <w:tc>
          <w:tcPr>
            <w:tcW w:type="dxa" w:w="175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DOM_ADM</w:t>
            </w:r>
          </w:p>
        </w:tc>
        <w:tc>
          <w:tcPr>
            <w:tcW w:type="dxa" w:w="325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Zone de nommage du segment d’administration</w:t>
            </w:r>
          </w:p>
        </w:tc>
        <w:tc>
          <w:tcPr>
            <w:tcW w:type="dxa" w:w="220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adm.exemple.lan</w:t>
            </w:r>
          </w:p>
        </w:tc>
        <w:tc>
          <w:tcPr>
            <w:tcW w:type="dxa" w:w="21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Suit le segment de gestion, non le rôle</w:t>
            </w:r>
          </w:p>
        </w:tc>
      </w:tr>
      <w:tr>
        <w:tc>
          <w:tcPr>
            <w:tcW w:type="dxa" w:w="175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VID_ADM</w:t>
            </w:r>
          </w:p>
        </w:tc>
        <w:tc>
          <w:tcPr>
            <w:tcW w:type="dxa" w:w="325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Identifiant du segment d’administration</w:t>
            </w:r>
          </w:p>
        </w:tc>
        <w:tc>
          <w:tcPr>
            <w:tcW w:type="dxa" w:w="220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10</w:t>
            </w:r>
          </w:p>
        </w:tc>
        <w:tc>
          <w:tcPr>
            <w:tcW w:type="dxa" w:w="21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Doit exister sur le commutateur</w:t>
            </w:r>
          </w:p>
        </w:tc>
      </w:tr>
      <w:tr>
        <w:tc>
          <w:tcPr>
            <w:tcW w:type="dxa" w:w="175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VID_ISO</w:t>
            </w:r>
          </w:p>
        </w:tc>
        <w:tc>
          <w:tcPr>
            <w:tcW w:type="dxa" w:w="325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Identifiant du segment de cohérence</w:t>
            </w:r>
          </w:p>
        </w:tc>
        <w:tc>
          <w:tcPr>
            <w:tcW w:type="dxa" w:w="220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99</w:t>
            </w:r>
          </w:p>
        </w:tc>
        <w:tc>
          <w:tcPr>
            <w:tcW w:type="dxa" w:w="21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Non routé, sans passerelle</w:t>
            </w:r>
          </w:p>
        </w:tc>
      </w:tr>
      <w:tr>
        <w:tc>
          <w:tcPr>
            <w:tcW w:type="dxa" w:w="175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VID_LISTE</w:t>
            </w:r>
          </w:p>
        </w:tc>
        <w:tc>
          <w:tcPr>
            <w:tcW w:type="dxa" w:w="325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Segments transportés vers les instances</w:t>
            </w:r>
          </w:p>
        </w:tc>
        <w:tc>
          <w:tcPr>
            <w:tcW w:type="dxa" w:w="220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10 20 30 99</w:t>
            </w:r>
          </w:p>
        </w:tc>
        <w:tc>
          <w:tcPr>
            <w:tcW w:type="dxa" w:w="21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Autorisés sur le lien agrégé</w:t>
            </w:r>
          </w:p>
        </w:tc>
      </w:tr>
      <w:tr>
        <w:tc>
          <w:tcPr>
            <w:tcW w:type="dxa" w:w="175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RES_ADM</w:t>
            </w:r>
          </w:p>
        </w:tc>
        <w:tc>
          <w:tcPr>
            <w:tcW w:type="dxa" w:w="325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Préfixe du segment d’administration</w:t>
            </w:r>
          </w:p>
        </w:tc>
        <w:tc>
          <w:tcPr>
            <w:tcW w:type="dxa" w:w="220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10.0.10.0/24</w:t>
            </w:r>
          </w:p>
        </w:tc>
        <w:tc>
          <w:tcPr>
            <w:tcW w:type="dxa" w:w="21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175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RES_ISO</w:t>
            </w:r>
          </w:p>
        </w:tc>
        <w:tc>
          <w:tcPr>
            <w:tcW w:type="dxa" w:w="325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Préfixe du segment de cohérence</w:t>
            </w:r>
          </w:p>
        </w:tc>
        <w:tc>
          <w:tcPr>
            <w:tcW w:type="dxa" w:w="220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10.0.99.0/24</w:t>
            </w:r>
          </w:p>
        </w:tc>
        <w:tc>
          <w:tcPr>
            <w:tcW w:type="dxa" w:w="21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Aucun routage sortant</w:t>
            </w:r>
          </w:p>
        </w:tc>
      </w:tr>
      <w:tr>
        <w:tc>
          <w:tcPr>
            <w:tcW w:type="dxa" w:w="175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GW_ADM</w:t>
            </w:r>
          </w:p>
        </w:tc>
        <w:tc>
          <w:tcPr>
            <w:tcW w:type="dxa" w:w="325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Passerelle du segment d’administration</w:t>
            </w:r>
          </w:p>
        </w:tc>
        <w:tc>
          <w:tcPr>
            <w:tcW w:type="dxa" w:w="220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10.0.10.254</w:t>
            </w:r>
          </w:p>
        </w:tc>
        <w:tc>
          <w:tcPr>
            <w:tcW w:type="dxa" w:w="21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Unique route par défaut</w:t>
            </w:r>
          </w:p>
        </w:tc>
      </w:tr>
      <w:tr>
        <w:tc>
          <w:tcPr>
            <w:tcW w:type="dxa" w:w="175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IP_ADM_n</w:t>
            </w:r>
          </w:p>
        </w:tc>
        <w:tc>
          <w:tcPr>
            <w:tcW w:type="dxa" w:w="325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Adresse d’administration du nœud n</w:t>
            </w:r>
          </w:p>
        </w:tc>
        <w:tc>
          <w:tcPr>
            <w:tcW w:type="dxa" w:w="220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10.0.10.11</w:t>
            </w:r>
          </w:p>
        </w:tc>
        <w:tc>
          <w:tcPr>
            <w:tcW w:type="dxa" w:w="21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Plage réservée aux serveurs</w:t>
            </w:r>
          </w:p>
        </w:tc>
      </w:tr>
      <w:tr>
        <w:tc>
          <w:tcPr>
            <w:tcW w:type="dxa" w:w="175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IP_ISO_n</w:t>
            </w:r>
          </w:p>
        </w:tc>
        <w:tc>
          <w:tcPr>
            <w:tcW w:type="dxa" w:w="325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Adresse de cohérence du nœud n</w:t>
            </w:r>
          </w:p>
        </w:tc>
        <w:tc>
          <w:tcPr>
            <w:tcW w:type="dxa" w:w="220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10.0.99.11</w:t>
            </w:r>
          </w:p>
        </w:tc>
        <w:tc>
          <w:tcPr>
            <w:tcW w:type="dxa" w:w="21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Même indice que IP_ADM_n</w:t>
            </w:r>
          </w:p>
        </w:tc>
      </w:tr>
      <w:tr>
        <w:tc>
          <w:tcPr>
            <w:tcW w:type="dxa" w:w="175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HOTE_n</w:t>
            </w:r>
          </w:p>
        </w:tc>
        <w:tc>
          <w:tcPr>
            <w:tcW w:type="dxa" w:w="325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Nom court du nœud n</w:t>
            </w:r>
          </w:p>
        </w:tc>
        <w:tc>
          <w:tcPr>
            <w:tcW w:type="dxa" w:w="220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hv1</w:t>
            </w:r>
          </w:p>
        </w:tc>
        <w:tc>
          <w:tcPr>
            <w:tcW w:type="dxa" w:w="21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Sans point. Immuable en pratique.</w:t>
            </w:r>
          </w:p>
        </w:tc>
      </w:tr>
      <w:tr>
        <w:tc>
          <w:tcPr>
            <w:tcW w:type="dxa" w:w="175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NIC_LAN</w:t>
            </w:r>
          </w:p>
        </w:tc>
        <w:tc>
          <w:tcPr>
            <w:tcW w:type="dxa" w:w="325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Interface physique de production</w:t>
            </w:r>
          </w:p>
        </w:tc>
        <w:tc>
          <w:tcPr>
            <w:tcW w:type="dxa" w:w="220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nic0</w:t>
            </w:r>
          </w:p>
        </w:tc>
        <w:tc>
          <w:tcPr>
            <w:tcW w:type="dxa" w:w="21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Nom stabilisé par épinglage</w:t>
            </w:r>
          </w:p>
        </w:tc>
      </w:tr>
      <w:tr>
        <w:tc>
          <w:tcPr>
            <w:tcW w:type="dxa" w:w="175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PORT_n</w:t>
            </w:r>
          </w:p>
        </w:tc>
        <w:tc>
          <w:tcPr>
            <w:tcW w:type="dxa" w:w="325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Port de commutation du nœud n</w:t>
            </w:r>
          </w:p>
        </w:tc>
        <w:tc>
          <w:tcPr>
            <w:tcW w:type="dxa" w:w="220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fa1</w:t>
            </w:r>
          </w:p>
        </w:tc>
        <w:tc>
          <w:tcPr>
            <w:tcW w:type="dxa" w:w="21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Configuré en lien agrégé</w:t>
            </w:r>
          </w:p>
        </w:tc>
      </w:tr>
      <w:tr>
        <w:tc>
          <w:tcPr>
            <w:tcW w:type="dxa" w:w="175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GRP_ADM</w:t>
            </w:r>
          </w:p>
        </w:tc>
        <w:tc>
          <w:tcPr>
            <w:tcW w:type="dxa" w:w="325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Groupe d’administration de la grappe</w:t>
            </w:r>
          </w:p>
        </w:tc>
        <w:tc>
          <w:tcPr>
            <w:tcW w:type="dxa" w:w="220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grp-admin</w:t>
            </w:r>
          </w:p>
        </w:tc>
        <w:tc>
          <w:tcPr>
            <w:tcW w:type="dxa" w:w="21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11657E"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11657E"/>
                <w:spacing w:val="40"/>
                <w:sz w:val="16"/>
                <w:szCs w:val="16"/>
              </w:rPr>
              <w:t xml:space="preserve">NOTE — </w:t>
            </w:r>
            <w:r>
              <w:rPr>
                <w:rFonts w:ascii="IBM Plex Sans" w:cs="IBM Plex Sans" w:eastAsia="IBM Plex Sans" w:hAnsi="IBM Plex Sans"/>
                <w:b/>
                <w:bCs/>
                <w:i w:val="false"/>
                <w:iCs w:val="false"/>
                <w:caps w:val="false"/>
                <w:color w:val="0F1B2A"/>
                <w:sz w:val="19"/>
                <w:szCs w:val="19"/>
              </w:rPr>
              <w:t xml:space="preserve">Deux niveaux de nommage.</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Les identifiants ci-dessus sont des paramètres de procédure. Ils ne doivent pas être confondus avec les valeurs réelles d’une installation, qui sont consignées dans le dossier d’exploitation et jamais dans le corps d’une procédure.</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1"/>
        <w:pBdr>
          <w:bottom w:val="single" w:color="C9D2DB" w:sz="6"/>
        </w:pBdr>
        <w:spacing w:after="180" w:before="420"/>
      </w:pPr>
      <w:r>
        <w:rPr>
          <w:rFonts w:ascii="IBM Plex Sans" w:cs="IBM Plex Sans" w:eastAsia="IBM Plex Sans" w:hAnsi="IBM Plex Sans"/>
          <w:b/>
          <w:bCs/>
          <w:i w:val="false"/>
          <w:iCs w:val="false"/>
          <w:caps w:val="false"/>
          <w:color w:val="B57508"/>
          <w:sz w:val="26"/>
          <w:szCs w:val="26"/>
        </w:rPr>
        <w:t xml:space="preserve">3   </w:t>
      </w:r>
      <w:r>
        <w:rPr>
          <w:rFonts w:ascii="IBM Plex Sans" w:cs="IBM Plex Sans" w:eastAsia="IBM Plex Sans" w:hAnsi="IBM Plex Sans"/>
          <w:b/>
          <w:bCs/>
          <w:i w:val="false"/>
          <w:iCs w:val="false"/>
          <w:caps w:val="false"/>
          <w:color w:val="0F1B2A"/>
          <w:sz w:val="26"/>
          <w:szCs w:val="26"/>
        </w:rPr>
        <w:t xml:space="preserve">Rôles et responsabilités</w:t>
      </w:r>
    </w:p>
    <w:tbl>
      <w:tblPr>
        <w:tblW w:type="dxa" w:w="9360"/>
        <w:tblBorders>
          <w:top w:val="single" w:color="0F1B2A" w:sz="4"/>
          <w:left w:val="none" w:color="FFFFFF" w:sz="0"/>
          <w:bottom w:val="single" w:color="0F1B2A" w:sz="4"/>
          <w:right w:val="none" w:color="FFFFFF" w:sz="0"/>
          <w:insideH w:val="single" w:color="C9D2DB" w:sz="4"/>
          <w:insideV w:val="none" w:color="FFFFFF" w:sz="0"/>
        </w:tblBorders>
      </w:tblPr>
      <w:tblGrid>
        <w:gridCol w:w="2400"/>
        <w:gridCol w:w="6960"/>
      </w:tblGrid>
      <w:tr>
        <w:trPr>
          <w:tblHeader/>
        </w:trPr>
        <w:tc>
          <w:tcPr>
            <w:tcW w:type="dxa" w:w="24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Rôle</w:t>
            </w:r>
          </w:p>
        </w:tc>
        <w:tc>
          <w:tcPr>
            <w:tcW w:type="dxa" w:w="696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Responsabilité</w:t>
            </w:r>
          </w:p>
        </w:tc>
      </w:tr>
      <w:tr>
        <w:tc>
          <w:tcPr>
            <w:tcW w:type="dxa" w:w="24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Opérateur</w:t>
            </w:r>
          </w:p>
        </w:tc>
        <w:tc>
          <w:tcPr>
            <w:tcW w:type="dxa" w:w="69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Exécute les étapes dans l’ordre, relève les sorties de contrôle et interrompt l’intervention dès qu’un critère d’acceptation n’est pas satisfait.</w:t>
            </w:r>
          </w:p>
        </w:tc>
      </w:tr>
      <w:tr>
        <w:tc>
          <w:tcPr>
            <w:tcW w:type="dxa" w:w="24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Administrateur système</w:t>
            </w:r>
          </w:p>
        </w:tc>
        <w:tc>
          <w:tcPr>
            <w:tcW w:type="dxa" w:w="69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Arbitre les paramètres immuables avant démarrage, valide le choix du type de stockage et prononce la recette finale.</w:t>
            </w:r>
          </w:p>
        </w:tc>
      </w:tr>
      <w:tr>
        <w:tc>
          <w:tcPr>
            <w:tcW w:type="dxa" w:w="24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Administrateur réseau</w:t>
            </w:r>
          </w:p>
        </w:tc>
        <w:tc>
          <w:tcPr>
            <w:tcW w:type="dxa" w:w="69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Applique et vérifie les modifications sur le commutateur d’accès, garantit la disponibilité du chemin de secours pendant la bascule.</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11657E"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11657E"/>
                <w:spacing w:val="40"/>
                <w:sz w:val="16"/>
                <w:szCs w:val="16"/>
              </w:rPr>
              <w:t xml:space="preserve">NOTE — </w:t>
            </w:r>
            <w:r>
              <w:rPr>
                <w:rFonts w:ascii="IBM Plex Sans" w:cs="IBM Plex Sans" w:eastAsia="IBM Plex Sans" w:hAnsi="IBM Plex Sans"/>
                <w:b/>
                <w:bCs/>
                <w:i w:val="false"/>
                <w:iCs w:val="false"/>
                <w:caps w:val="false"/>
                <w:color w:val="0F1B2A"/>
                <w:sz w:val="19"/>
                <w:szCs w:val="19"/>
              </w:rPr>
              <w:t xml:space="preserve">Cumul des rôles.</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Sur une infrastructure de laboratoire, les trois rôles sont fréquemment tenus par la même personne. La distinction reste utile : elle rappelle qu’un arbitrage d’architecture ne se prend pas au moment où l’on tape la commande.</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1"/>
        <w:pBdr>
          <w:bottom w:val="single" w:color="C9D2DB" w:sz="6"/>
        </w:pBdr>
        <w:spacing w:after="180" w:before="420"/>
      </w:pPr>
      <w:r>
        <w:rPr>
          <w:rFonts w:ascii="IBM Plex Sans" w:cs="IBM Plex Sans" w:eastAsia="IBM Plex Sans" w:hAnsi="IBM Plex Sans"/>
          <w:b/>
          <w:bCs/>
          <w:i w:val="false"/>
          <w:iCs w:val="false"/>
          <w:caps w:val="false"/>
          <w:color w:val="B57508"/>
          <w:sz w:val="26"/>
          <w:szCs w:val="26"/>
        </w:rPr>
        <w:t xml:space="preserve">4   </w:t>
      </w:r>
      <w:r>
        <w:rPr>
          <w:rFonts w:ascii="IBM Plex Sans" w:cs="IBM Plex Sans" w:eastAsia="IBM Plex Sans" w:hAnsi="IBM Plex Sans"/>
          <w:b/>
          <w:bCs/>
          <w:i w:val="false"/>
          <w:iCs w:val="false"/>
          <w:caps w:val="false"/>
          <w:color w:val="0F1B2A"/>
          <w:sz w:val="26"/>
          <w:szCs w:val="26"/>
        </w:rPr>
        <w:t xml:space="preserve">Procédure de mise en service</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Les étapes s’exécutent dans l’ordre. Chacune se termine par un contrôle dont l’échec interdit de passer à la suivante.</w:t>
      </w:r>
    </w:p>
    <w:p>
      <w:pPr>
        <w:pStyle w:val="Heading2"/>
        <w:spacing w:after="120" w:before="300"/>
      </w:pPr>
      <w:r>
        <w:rPr>
          <w:rFonts w:ascii="IBM Plex Sans" w:cs="IBM Plex Sans" w:eastAsia="IBM Plex Sans" w:hAnsi="IBM Plex Sans"/>
          <w:b/>
          <w:bCs/>
          <w:i w:val="false"/>
          <w:iCs w:val="false"/>
          <w:caps w:val="false"/>
          <w:color w:val="11657E"/>
          <w:sz w:val="22"/>
          <w:szCs w:val="22"/>
        </w:rPr>
        <w:t xml:space="preserve">4.1   </w:t>
      </w:r>
      <w:r>
        <w:rPr>
          <w:rFonts w:ascii="IBM Plex Sans" w:cs="IBM Plex Sans" w:eastAsia="IBM Plex Sans" w:hAnsi="IBM Plex Sans"/>
          <w:b/>
          <w:bCs/>
          <w:i w:val="false"/>
          <w:iCs w:val="false"/>
          <w:caps w:val="false"/>
          <w:color w:val="1E3450"/>
          <w:sz w:val="22"/>
          <w:szCs w:val="22"/>
        </w:rPr>
        <w:t xml:space="preserve">Arbitrages préalables</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Trois décisions ne peuvent pas être différées. Les reprendre après coup impose une réinstallation complète ou la destruction de la grappe.</w:t>
      </w:r>
    </w:p>
    <w:tbl>
      <w:tblPr>
        <w:tblW w:type="dxa" w:w="9360"/>
        <w:tblBorders>
          <w:top w:val="single" w:color="0F1B2A" w:sz="4"/>
          <w:left w:val="none" w:color="FFFFFF" w:sz="0"/>
          <w:bottom w:val="single" w:color="0F1B2A" w:sz="4"/>
          <w:right w:val="none" w:color="FFFFFF" w:sz="0"/>
          <w:insideH w:val="single" w:color="C9D2DB" w:sz="4"/>
          <w:insideV w:val="none" w:color="FFFFFF" w:sz="0"/>
        </w:tblBorders>
      </w:tblPr>
      <w:tblGrid>
        <w:gridCol w:w="2200"/>
        <w:gridCol w:w="3400"/>
        <w:gridCol w:w="3760"/>
      </w:tblGrid>
      <w:tr>
        <w:trPr>
          <w:tblHeader/>
        </w:trPr>
        <w:tc>
          <w:tcPr>
            <w:tcW w:type="dxa" w:w="22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Décision</w:t>
            </w:r>
          </w:p>
        </w:tc>
        <w:tc>
          <w:tcPr>
            <w:tcW w:type="dxa" w:w="34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Conséquence si différée</w:t>
            </w:r>
          </w:p>
        </w:tc>
        <w:tc>
          <w:tcPr>
            <w:tcW w:type="dxa" w:w="376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Critère d’arbitrage</w:t>
            </w:r>
          </w:p>
        </w:tc>
      </w:tr>
      <w:tr>
        <w:tc>
          <w:tcPr>
            <w:tcW w:type="dxa" w:w="22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Type de stockage local</w:t>
            </w:r>
          </w:p>
        </w:tc>
        <w:tc>
          <w:tcPr>
            <w:tcW w:type="dxa" w:w="34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Réinstallation des trois nœuds</w:t>
            </w:r>
          </w:p>
        </w:tc>
        <w:tc>
          <w:tcPr>
            <w:tcW w:type="dxa" w:w="37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Un gestionnaire de volumes à allocation fine n’offre ni réplication entre nœuds, ni sommes de contrôle, ni compression. Un système de fichiers intégrant la gestion de volumes offre les trois mais réserve de la mémoire vive pour son cache de lecture.</w:t>
            </w:r>
          </w:p>
        </w:tc>
      </w:tr>
      <w:tr>
        <w:tc>
          <w:tcPr>
            <w:tcW w:type="dxa" w:w="22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Nom de la grappe</w:t>
            </w:r>
          </w:p>
        </w:tc>
        <w:tc>
          <w:tcPr>
            <w:tcW w:type="dxa" w:w="34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Destruction et reconstruction</w:t>
            </w:r>
          </w:p>
        </w:tc>
        <w:tc>
          <w:tcPr>
            <w:tcW w:type="dxa" w:w="37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Figuré dans la configuration de cohérence et dans l’interface. Court, en minuscules, aligné sur la zone de nommage.</w:t>
            </w:r>
          </w:p>
        </w:tc>
      </w:tr>
      <w:tr>
        <w:tc>
          <w:tcPr>
            <w:tcW w:type="dxa" w:w="22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Nom d’hôte des nœuds</w:t>
            </w:r>
          </w:p>
        </w:tc>
        <w:tc>
          <w:tcPr>
            <w:tcW w:type="dxa" w:w="34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Intervention manuelle étendue</w:t>
            </w:r>
          </w:p>
        </w:tc>
        <w:tc>
          <w:tcPr>
            <w:tcW w:type="dxa" w:w="37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Référencé par la cohérence, les certificats et l’arborescence de configuration partagée.</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A32017"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A32017"/>
                <w:spacing w:val="40"/>
                <w:sz w:val="16"/>
                <w:szCs w:val="16"/>
              </w:rPr>
              <w:t xml:space="preserve">ATTENTION — </w:t>
            </w:r>
            <w:r>
              <w:rPr>
                <w:rFonts w:ascii="IBM Plex Sans" w:cs="IBM Plex Sans" w:eastAsia="IBM Plex Sans" w:hAnsi="IBM Plex Sans"/>
                <w:b/>
                <w:bCs/>
                <w:i w:val="false"/>
                <w:iCs w:val="false"/>
                <w:caps w:val="false"/>
                <w:color w:val="0F1B2A"/>
                <w:sz w:val="19"/>
                <w:szCs w:val="19"/>
              </w:rPr>
              <w:t xml:space="preserve">Absence de réplication.</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Sans système de fichiers à gestion de volumes intégrée et sans stockage partagé, la panne d’un nœud rend ses instances indisponibles jusqu’à restauration depuis une sauvegarde. Ni la migration à chaud ni la reprise automatique ne sont possibles. Cette limite doit être acceptée explicitement et consignée, faute de quoi elle sera découverte lors du premier incident.</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2"/>
        <w:spacing w:after="120" w:before="300"/>
      </w:pPr>
      <w:r>
        <w:rPr>
          <w:rFonts w:ascii="IBM Plex Sans" w:cs="IBM Plex Sans" w:eastAsia="IBM Plex Sans" w:hAnsi="IBM Plex Sans"/>
          <w:b/>
          <w:bCs/>
          <w:i w:val="false"/>
          <w:iCs w:val="false"/>
          <w:caps w:val="false"/>
          <w:color w:val="11657E"/>
          <w:sz w:val="22"/>
          <w:szCs w:val="22"/>
        </w:rPr>
        <w:t xml:space="preserve">4.2   </w:t>
      </w:r>
      <w:r>
        <w:rPr>
          <w:rFonts w:ascii="IBM Plex Sans" w:cs="IBM Plex Sans" w:eastAsia="IBM Plex Sans" w:hAnsi="IBM Plex Sans"/>
          <w:b/>
          <w:bCs/>
          <w:i w:val="false"/>
          <w:iCs w:val="false"/>
          <w:caps w:val="false"/>
          <w:color w:val="1E3450"/>
          <w:sz w:val="22"/>
          <w:szCs w:val="22"/>
        </w:rPr>
        <w:t xml:space="preserve">Installation des hyperviseurs</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Installer les trois nœuds depuis le même support, avec le même schéma de partitionnement et le même type de stockage. Renseigner séparément le nom court et le domaine.</w:t>
      </w:r>
    </w:p>
    <w:tbl>
      <w:tblPr>
        <w:tblW w:type="dxa" w:w="9360"/>
        <w:tblBorders>
          <w:top w:val="single" w:color="0F1B2A" w:sz="4"/>
          <w:left w:val="none" w:color="FFFFFF" w:sz="0"/>
          <w:bottom w:val="single" w:color="0F1B2A" w:sz="4"/>
          <w:right w:val="none" w:color="FFFFFF" w:sz="0"/>
          <w:insideH w:val="single" w:color="C9D2DB" w:sz="4"/>
          <w:insideV w:val="none" w:color="FFFFFF" w:sz="0"/>
        </w:tblBorders>
      </w:tblPr>
      <w:tblGrid>
        <w:gridCol w:w="2400"/>
        <w:gridCol w:w="2320"/>
        <w:gridCol w:w="2320"/>
        <w:gridCol w:w="2320"/>
      </w:tblGrid>
      <w:tr>
        <w:trPr>
          <w:tblHeader/>
        </w:trPr>
        <w:tc>
          <w:tcPr>
            <w:tcW w:type="dxa" w:w="24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Champ</w:t>
            </w:r>
          </w:p>
        </w:tc>
        <w:tc>
          <w:tcPr>
            <w:tcW w:type="dxa" w:w="232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Nœud 1</w:t>
            </w:r>
          </w:p>
        </w:tc>
        <w:tc>
          <w:tcPr>
            <w:tcW w:type="dxa" w:w="232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Nœud 2</w:t>
            </w:r>
          </w:p>
        </w:tc>
        <w:tc>
          <w:tcPr>
            <w:tcW w:type="dxa" w:w="232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Nœud 3</w:t>
            </w:r>
          </w:p>
        </w:tc>
      </w:tr>
      <w:tr>
        <w:tc>
          <w:tcPr>
            <w:tcW w:type="dxa" w:w="24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Nom d’hôte</w:t>
            </w:r>
          </w:p>
        </w:tc>
        <w:tc>
          <w:tcPr>
            <w:tcW w:type="dxa" w:w="23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HOTE_1</w:t>
            </w:r>
          </w:p>
        </w:tc>
        <w:tc>
          <w:tcPr>
            <w:tcW w:type="dxa" w:w="23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HOTE_2</w:t>
            </w:r>
          </w:p>
        </w:tc>
        <w:tc>
          <w:tcPr>
            <w:tcW w:type="dxa" w:w="23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HOTE_3</w:t>
            </w:r>
          </w:p>
        </w:tc>
      </w:tr>
      <w:tr>
        <w:tc>
          <w:tcPr>
            <w:tcW w:type="dxa" w:w="24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Domaine</w:t>
            </w:r>
          </w:p>
        </w:tc>
        <w:tc>
          <w:tcPr>
            <w:tcW w:type="dxa" w:w="23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DOM_ADM</w:t>
            </w:r>
          </w:p>
        </w:tc>
        <w:tc>
          <w:tcPr>
            <w:tcW w:type="dxa" w:w="23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DOM_ADM</w:t>
            </w:r>
          </w:p>
        </w:tc>
        <w:tc>
          <w:tcPr>
            <w:tcW w:type="dxa" w:w="23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DOM_ADM</w:t>
            </w:r>
          </w:p>
        </w:tc>
      </w:tr>
      <w:tr>
        <w:tc>
          <w:tcPr>
            <w:tcW w:type="dxa" w:w="24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Adresse</w:t>
            </w:r>
          </w:p>
        </w:tc>
        <w:tc>
          <w:tcPr>
            <w:tcW w:type="dxa" w:w="23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IP_ADM_1</w:t>
            </w:r>
          </w:p>
        </w:tc>
        <w:tc>
          <w:tcPr>
            <w:tcW w:type="dxa" w:w="23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IP_ADM_2</w:t>
            </w:r>
          </w:p>
        </w:tc>
        <w:tc>
          <w:tcPr>
            <w:tcW w:type="dxa" w:w="23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IP_ADM_3</w:t>
            </w:r>
          </w:p>
        </w:tc>
      </w:tr>
      <w:tr>
        <w:tc>
          <w:tcPr>
            <w:tcW w:type="dxa" w:w="24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Passerelle</w:t>
            </w:r>
          </w:p>
        </w:tc>
        <w:tc>
          <w:tcPr>
            <w:tcW w:type="dxa" w:w="23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GW_ADM</w:t>
            </w:r>
          </w:p>
        </w:tc>
        <w:tc>
          <w:tcPr>
            <w:tcW w:type="dxa" w:w="23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GW_ADM</w:t>
            </w:r>
          </w:p>
        </w:tc>
        <w:tc>
          <w:tcPr>
            <w:tcW w:type="dxa" w:w="23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GW_ADM</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Contrôle — sur chaque nœud, la version doit être strictement identique et le nom pleinement qualifié conforme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hostname -f</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pveversion</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11657E"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11657E"/>
                <w:spacing w:val="40"/>
                <w:sz w:val="16"/>
                <w:szCs w:val="16"/>
              </w:rPr>
              <w:t xml:space="preserve">NOTE — </w:t>
            </w:r>
            <w:r>
              <w:rPr>
                <w:rFonts w:ascii="IBM Plex Sans" w:cs="IBM Plex Sans" w:eastAsia="IBM Plex Sans" w:hAnsi="IBM Plex Sans"/>
                <w:b/>
                <w:bCs/>
                <w:i w:val="false"/>
                <w:iCs w:val="false"/>
                <w:caps w:val="false"/>
                <w:color w:val="0F1B2A"/>
                <w:sz w:val="19"/>
                <w:szCs w:val="19"/>
              </w:rPr>
              <w:t xml:space="preserve">Nommage des interfaces.</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Les versions récentes épinglent les noms d’interface sur l’adresse matérielle, produisant des noms stables de la forme nic0, nic1. Relever la correspondance sur chaque nœud avant de rédiger la configuration réseau : l’ordre d’énumération n’est pas garanti identique d’une machine à l’autre, et une carte sans fil peut occuper un des indices.</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ip -br link show</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for f in /usr/local/lib/systemd/network/*.link; do echo "== $f"; cat "$f"; done</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2"/>
        <w:spacing w:after="120" w:before="300"/>
      </w:pPr>
      <w:r>
        <w:rPr>
          <w:rFonts w:ascii="IBM Plex Sans" w:cs="IBM Plex Sans" w:eastAsia="IBM Plex Sans" w:hAnsi="IBM Plex Sans"/>
          <w:b/>
          <w:bCs/>
          <w:i w:val="false"/>
          <w:iCs w:val="false"/>
          <w:caps w:val="false"/>
          <w:color w:val="11657E"/>
          <w:sz w:val="22"/>
          <w:szCs w:val="22"/>
        </w:rPr>
        <w:t xml:space="preserve">4.3   </w:t>
      </w:r>
      <w:r>
        <w:rPr>
          <w:rFonts w:ascii="IBM Plex Sans" w:cs="IBM Plex Sans" w:eastAsia="IBM Plex Sans" w:hAnsi="IBM Plex Sans"/>
          <w:b/>
          <w:bCs/>
          <w:i w:val="false"/>
          <w:iCs w:val="false"/>
          <w:caps w:val="false"/>
          <w:color w:val="1E3450"/>
          <w:sz w:val="22"/>
          <w:szCs w:val="22"/>
        </w:rPr>
        <w:t xml:space="preserve">Résolution locale des noms</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La grappe s’appuie sur la résolution des noms pleinement qualifiés. Tant que le service de noms interne n’est pas déployé, la résolution est assurée localement, avec un contenu strictement identique sur les trois nœuds.</w:t>
      </w:r>
    </w:p>
    <w:p>
      <w:pPr>
        <w:spacing w:after="60" w:before="140"/>
      </w:pPr>
      <w:r>
        <w:rPr>
          <w:rFonts w:ascii="IBM Plex Sans" w:cs="IBM Plex Sans" w:eastAsia="IBM Plex Sans" w:hAnsi="IBM Plex Sans"/>
          <w:b/>
          <w:bCs/>
          <w:i w:val="false"/>
          <w:iCs w:val="false"/>
          <w:caps/>
          <w:color w:val="5A6673"/>
          <w:spacing w:val="40"/>
          <w:sz w:val="16"/>
          <w:szCs w:val="16"/>
        </w:rPr>
        <w:t xml:space="preserve">Fichier   </w:t>
      </w:r>
      <w:r>
        <w:rPr>
          <w:rFonts w:ascii="IBM Plex Mono" w:cs="IBM Plex Mono" w:eastAsia="IBM Plex Mono" w:hAnsi="IBM Plex Mono"/>
          <w:b/>
          <w:bCs/>
          <w:i w:val="false"/>
          <w:iCs w:val="false"/>
          <w:caps w:val="false"/>
          <w:color w:val="1E3450"/>
          <w:sz w:val="18"/>
          <w:szCs w:val="18"/>
        </w:rPr>
        <w:t xml:space="preserve">/etc/hosts</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127.0.0.1 localhost.localdomain localhost</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IP_ADM_1 HOTE_1.DOM_ADM HOTE_1</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IP_ADM_2 HOTE_2.DOM_ADM HOTE_2</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IP_ADM_3 HOTE_3.DOM_ADM HOTE_3</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Contrôle — les trois entrées doivent être résolues depuis chacun des nœuds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getent hosts HOTE_1.DOM_ADM HOTE_2.DOM_ADM HOTE_3.DOM_ADM</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hostname -i</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B57508"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B57508"/>
                <w:spacing w:val="40"/>
                <w:sz w:val="16"/>
                <w:szCs w:val="16"/>
              </w:rPr>
              <w:t xml:space="preserve">ATTENTION — </w:t>
            </w:r>
            <w:r>
              <w:rPr>
                <w:rFonts w:ascii="IBM Plex Sans" w:cs="IBM Plex Sans" w:eastAsia="IBM Plex Sans" w:hAnsi="IBM Plex Sans"/>
                <w:b/>
                <w:bCs/>
                <w:i w:val="false"/>
                <w:iCs w:val="false"/>
                <w:caps w:val="false"/>
                <w:color w:val="0F1B2A"/>
                <w:sz w:val="19"/>
                <w:szCs w:val="19"/>
              </w:rPr>
              <w:t xml:space="preserve">Le nom local doit figurer dans le fichier.</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Réécrire ce fichier sans y laisser l’entrée du nœud courant empêche le démarrage correct des services d’administration et de cohérence au redémarrage suivant.</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2"/>
        <w:spacing w:after="120" w:before="300"/>
      </w:pPr>
      <w:r>
        <w:rPr>
          <w:rFonts w:ascii="IBM Plex Sans" w:cs="IBM Plex Sans" w:eastAsia="IBM Plex Sans" w:hAnsi="IBM Plex Sans"/>
          <w:b/>
          <w:bCs/>
          <w:i w:val="false"/>
          <w:iCs w:val="false"/>
          <w:caps w:val="false"/>
          <w:color w:val="11657E"/>
          <w:sz w:val="22"/>
          <w:szCs w:val="22"/>
        </w:rPr>
        <w:t xml:space="preserve">4.4   </w:t>
      </w:r>
      <w:r>
        <w:rPr>
          <w:rFonts w:ascii="IBM Plex Sans" w:cs="IBM Plex Sans" w:eastAsia="IBM Plex Sans" w:hAnsi="IBM Plex Sans"/>
          <w:b/>
          <w:bCs/>
          <w:i w:val="false"/>
          <w:iCs w:val="false"/>
          <w:caps w:val="false"/>
          <w:color w:val="1E3450"/>
          <w:sz w:val="22"/>
          <w:szCs w:val="22"/>
        </w:rPr>
        <w:t xml:space="preserve">Configuration du lien agrégé sur le commutateur</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Les ports des hyperviseurs doivent transporter le segment d’administration et le segment de cohérence sous forme étiquetée, ainsi que les segments destinés aux futures instances. L’opération est non perturbante : ajouter un segment étiqueté ne modifie pas le trafic existant.</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configure</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interface range PORT_1-PORT_3</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switchport mode trunk</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switchport trunk allowed vlan add VID_LISTE</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exit</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end</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copy running-config startup-config</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Contrôle — sur chacun des trois ports, les segments attendus doivent apparaître en étiqueté statique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60" w:before="60" w:line="260"/>
            </w:pPr>
            <w:r>
              <w:rPr>
                <w:rFonts w:ascii="IBM Plex Mono" w:cs="IBM Plex Mono" w:eastAsia="IBM Plex Mono" w:hAnsi="IBM Plex Mono"/>
                <w:b w:val="false"/>
                <w:bCs w:val="false"/>
                <w:i w:val="false"/>
                <w:iCs w:val="false"/>
                <w:caps w:val="false"/>
                <w:color w:val="15212E"/>
                <w:sz w:val="17"/>
                <w:szCs w:val="17"/>
              </w:rPr>
              <w:t xml:space="preserve">show interfaces switchport PORT_1</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B57508"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B57508"/>
                <w:spacing w:val="40"/>
                <w:sz w:val="16"/>
                <w:szCs w:val="16"/>
              </w:rPr>
              <w:t xml:space="preserve">ATTENTION — </w:t>
            </w:r>
            <w:r>
              <w:rPr>
                <w:rFonts w:ascii="IBM Plex Sans" w:cs="IBM Plex Sans" w:eastAsia="IBM Plex Sans" w:hAnsi="IBM Plex Sans"/>
                <w:b/>
                <w:bCs/>
                <w:i w:val="false"/>
                <w:iCs w:val="false"/>
                <w:caps w:val="false"/>
                <w:color w:val="0F1B2A"/>
                <w:sz w:val="19"/>
                <w:szCs w:val="19"/>
              </w:rPr>
              <w:t xml:space="preserve">Ajouter, ne pas remplacer.</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La forme sans mot-clé d’ajout remplace intégralement la liste des segments autorisés du port et supprime silencieusement ceux qui ne sont pas réénumérés.</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11657E"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11657E"/>
                <w:spacing w:val="40"/>
                <w:sz w:val="16"/>
                <w:szCs w:val="16"/>
              </w:rPr>
              <w:t xml:space="preserve">NOTE — </w:t>
            </w:r>
            <w:r>
              <w:rPr>
                <w:rFonts w:ascii="IBM Plex Sans" w:cs="IBM Plex Sans" w:eastAsia="IBM Plex Sans" w:hAnsi="IBM Plex Sans"/>
                <w:b/>
                <w:bCs/>
                <w:i w:val="false"/>
                <w:iCs w:val="false"/>
                <w:caps w:val="false"/>
                <w:color w:val="0F1B2A"/>
                <w:sz w:val="19"/>
                <w:szCs w:val="19"/>
              </w:rPr>
              <w:t xml:space="preserve">Segment natif conservé provisoirement.</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Si les ports portaient déjà un segment natif non étiqueté servant à joindre les nœuds, le conserver jusqu’à la fin de l’étape 4.6. Il constitue le chemin de repli pendant la bascule.</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2"/>
        <w:spacing w:after="120" w:before="300"/>
      </w:pPr>
      <w:r>
        <w:rPr>
          <w:rFonts w:ascii="IBM Plex Sans" w:cs="IBM Plex Sans" w:eastAsia="IBM Plex Sans" w:hAnsi="IBM Plex Sans"/>
          <w:b/>
          <w:bCs/>
          <w:i w:val="false"/>
          <w:iCs w:val="false"/>
          <w:caps w:val="false"/>
          <w:color w:val="11657E"/>
          <w:sz w:val="22"/>
          <w:szCs w:val="22"/>
        </w:rPr>
        <w:t xml:space="preserve">4.5   </w:t>
      </w:r>
      <w:r>
        <w:rPr>
          <w:rFonts w:ascii="IBM Plex Sans" w:cs="IBM Plex Sans" w:eastAsia="IBM Plex Sans" w:hAnsi="IBM Plex Sans"/>
          <w:b/>
          <w:bCs/>
          <w:i w:val="false"/>
          <w:iCs w:val="false"/>
          <w:caps w:val="false"/>
          <w:color w:val="1E3450"/>
          <w:sz w:val="22"/>
          <w:szCs w:val="22"/>
        </w:rPr>
        <w:t xml:space="preserve">Configuration réseau des nœuds — phase de recouvrement</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Le pont est basculé en mode conscient des segments, et deux interfaces étiquetées sont ajoutées. L’adresse préexistante est conservée à ce stade : elle garantit l’accès si l’étiquetage n’est pas opérationnel.</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Sauvegarder avant modification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60" w:before="60" w:line="260"/>
            </w:pPr>
            <w:r>
              <w:rPr>
                <w:rFonts w:ascii="IBM Plex Mono" w:cs="IBM Plex Mono" w:eastAsia="IBM Plex Mono" w:hAnsi="IBM Plex Mono"/>
                <w:b w:val="false"/>
                <w:bCs w:val="false"/>
                <w:i w:val="false"/>
                <w:iCs w:val="false"/>
                <w:caps w:val="false"/>
                <w:color w:val="15212E"/>
                <w:sz w:val="17"/>
                <w:szCs w:val="17"/>
              </w:rPr>
              <w:t xml:space="preserve">cp -a /etc/network/interfaces /root/interfaces.bak.$(date +%F-%H%M)</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60" w:before="140"/>
      </w:pPr>
      <w:r>
        <w:rPr>
          <w:rFonts w:ascii="IBM Plex Sans" w:cs="IBM Plex Sans" w:eastAsia="IBM Plex Sans" w:hAnsi="IBM Plex Sans"/>
          <w:b/>
          <w:bCs/>
          <w:i w:val="false"/>
          <w:iCs w:val="false"/>
          <w:caps/>
          <w:color w:val="5A6673"/>
          <w:spacing w:val="40"/>
          <w:sz w:val="16"/>
          <w:szCs w:val="16"/>
        </w:rPr>
        <w:t xml:space="preserve">Fichier   </w:t>
      </w:r>
      <w:r>
        <w:rPr>
          <w:rFonts w:ascii="IBM Plex Mono" w:cs="IBM Plex Mono" w:eastAsia="IBM Plex Mono" w:hAnsi="IBM Plex Mono"/>
          <w:b/>
          <w:bCs/>
          <w:i w:val="false"/>
          <w:iCs w:val="false"/>
          <w:caps w:val="false"/>
          <w:color w:val="1E3450"/>
          <w:sz w:val="18"/>
          <w:szCs w:val="18"/>
        </w:rPr>
        <w:t xml:space="preserve">/etc/network/interfaces</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auto lo</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iface lo inet loopback</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iface NIC_LAN inet manual</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auto vmbr0</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iface vmbr0 inet static</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address &lt;adresse provisoire&gt;/24</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gateway &lt;passerelle provisoire&gt;</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bridge-ports NIC_LAN</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bridge-stp off</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bridge-fd 0</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bridge-vlan-aware yes</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bridge-vids VID_LISTE</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auto vmbr0.VID_ADM</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iface vmbr0.VID_ADM inet static</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address IP_ADM_n/24</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auto vmbr0.VID_ISO</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iface vmbr0.VID_ISO inet static</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address IP_ISO_n/24</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source /etc/network/interfaces.d/*</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Paramètres notables :</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bridge-vlan-aware yes — active le filtrage par segment sur le pont. Sans lui, aucune instance ne peut être rattachée à un segment par étiquette.</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bridge-vids — énumère les segments admis à traverser le pont. Un segment absent est rejeté.</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Aucune passerelle sur l’interface de cohérence : ce segment n’est pas routé et ne doit pas l’être.</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Une seule route par défaut est déclarée dans le fichier. Deux directives de passerelle font échouer le rechargement.</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Appliquer la configuration. La commande est différée pour survivre à la coupure de la session qui la lance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60" w:before="60" w:line="260"/>
            </w:pPr>
            <w:r>
              <w:rPr>
                <w:rFonts w:ascii="IBM Plex Mono" w:cs="IBM Plex Mono" w:eastAsia="IBM Plex Mono" w:hAnsi="IBM Plex Mono"/>
                <w:b w:val="false"/>
                <w:bCs w:val="false"/>
                <w:i w:val="false"/>
                <w:iCs w:val="false"/>
                <w:caps w:val="false"/>
                <w:color w:val="15212E"/>
                <w:sz w:val="17"/>
                <w:szCs w:val="17"/>
              </w:rPr>
              <w:t xml:space="preserve">systemd-run --on-active=5 --timer-property=AccuracySec=1s ifreload -a</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Contrôle — après reconnexion, les deux interfaces étiquetées doivent porter leur adresse et répondre depuis le poste d’administration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ip -br addr show</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ip route</w:t>
            </w:r>
          </w:p>
          <w:p>
            <w:pPr>
              <w:spacing w:after="0" w:before="0" w:line="260"/>
            </w:pPr>
            <w:r>
              <w:rPr>
                <w:rFonts w:ascii="IBM Plex Mono" w:cs="IBM Plex Mono" w:eastAsia="IBM Plex Mono" w:hAnsi="IBM Plex Mono"/>
                <w:b w:val="false"/>
                <w:bCs w:val="false"/>
                <w:i w:val="false"/>
                <w:iCs w:val="false"/>
                <w:caps w:val="false"/>
                <w:color w:val="5A6673"/>
                <w:sz w:val="17"/>
                <w:szCs w:val="17"/>
              </w:rPr>
              <w:t xml:space="preserve"># depuis le poste d’administration</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ping -c3 IP_ADM_n</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A32017"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A32017"/>
                <w:spacing w:val="40"/>
                <w:sz w:val="16"/>
                <w:szCs w:val="16"/>
              </w:rPr>
              <w:t xml:space="preserve">ATTENTION — </w:t>
            </w:r>
            <w:r>
              <w:rPr>
                <w:rFonts w:ascii="IBM Plex Sans" w:cs="IBM Plex Sans" w:eastAsia="IBM Plex Sans" w:hAnsi="IBM Plex Sans"/>
                <w:b/>
                <w:bCs/>
                <w:i w:val="false"/>
                <w:iCs w:val="false"/>
                <w:caps w:val="false"/>
                <w:color w:val="0F1B2A"/>
                <w:sz w:val="19"/>
                <w:szCs w:val="19"/>
              </w:rPr>
              <w:t xml:space="preserve">Un nœud à la fois.</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Traiter les trois nœuds simultanément expose à les rendre tous injoignables sur une même erreur de configuration. Terminer le contrôle d’un nœud avant d’attaquer le suivant.</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B57508"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B57508"/>
                <w:spacing w:val="40"/>
                <w:sz w:val="16"/>
                <w:szCs w:val="16"/>
              </w:rPr>
              <w:t xml:space="preserve">ATTENTION — </w:t>
            </w:r>
            <w:r>
              <w:rPr>
                <w:rFonts w:ascii="IBM Plex Sans" w:cs="IBM Plex Sans" w:eastAsia="IBM Plex Sans" w:hAnsi="IBM Plex Sans"/>
                <w:b/>
                <w:bCs/>
                <w:i w:val="false"/>
                <w:iCs w:val="false"/>
                <w:caps w:val="false"/>
                <w:color w:val="0F1B2A"/>
                <w:sz w:val="19"/>
                <w:szCs w:val="19"/>
              </w:rPr>
              <w:t xml:space="preserve">Rechargement effectif.</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La modification du fichier ne change rien tant que la configuration n’est pas rechargée. Un rechargement peut aussi échouer silencieusement sur une erreur de syntaxe ; le mode verbeux la révèle.</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60" w:before="60" w:line="260"/>
            </w:pPr>
            <w:r>
              <w:rPr>
                <w:rFonts w:ascii="IBM Plex Mono" w:cs="IBM Plex Mono" w:eastAsia="IBM Plex Mono" w:hAnsi="IBM Plex Mono"/>
                <w:b w:val="false"/>
                <w:bCs w:val="false"/>
                <w:i w:val="false"/>
                <w:iCs w:val="false"/>
                <w:caps w:val="false"/>
                <w:color w:val="15212E"/>
                <w:sz w:val="17"/>
                <w:szCs w:val="17"/>
              </w:rPr>
              <w:t xml:space="preserve">ifreload -a -d 2&gt;&amp;1 | tail -30</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3"/>
        <w:spacing w:after="100" w:before="220"/>
      </w:pPr>
      <w:r>
        <w:rPr>
          <w:rFonts w:ascii="IBM Plex Sans" w:cs="IBM Plex Sans" w:eastAsia="IBM Plex Sans" w:hAnsi="IBM Plex Sans"/>
          <w:b/>
          <w:bCs/>
          <w:i w:val="false"/>
          <w:iCs w:val="false"/>
          <w:caps w:val="false"/>
          <w:color w:val="1E3450"/>
          <w:sz w:val="20"/>
          <w:szCs w:val="20"/>
        </w:rPr>
        <w:t xml:space="preserve">Retour arrière</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Depuis la console, restaurer la sauvegarde et recharger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cp -a /root/interfaces.bak.* /etc/network/interfaces</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ifreload -a</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2"/>
        <w:spacing w:after="120" w:before="300"/>
      </w:pPr>
      <w:r>
        <w:rPr>
          <w:rFonts w:ascii="IBM Plex Sans" w:cs="IBM Plex Sans" w:eastAsia="IBM Plex Sans" w:hAnsi="IBM Plex Sans"/>
          <w:b/>
          <w:bCs/>
          <w:i w:val="false"/>
          <w:iCs w:val="false"/>
          <w:caps w:val="false"/>
          <w:color w:val="11657E"/>
          <w:sz w:val="22"/>
          <w:szCs w:val="22"/>
        </w:rPr>
        <w:t xml:space="preserve">4.6   </w:t>
      </w:r>
      <w:r>
        <w:rPr>
          <w:rFonts w:ascii="IBM Plex Sans" w:cs="IBM Plex Sans" w:eastAsia="IBM Plex Sans" w:hAnsi="IBM Plex Sans"/>
          <w:b/>
          <w:bCs/>
          <w:i w:val="false"/>
          <w:iCs w:val="false"/>
          <w:caps w:val="false"/>
          <w:color w:val="1E3450"/>
          <w:sz w:val="22"/>
          <w:szCs w:val="22"/>
        </w:rPr>
        <w:t xml:space="preserve">Bascule définitive et retrait du recouvrement</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Une fois les trois nœuds joignables sur le segment d’administration, l’adresse provisoire est retirée et la route par défaut migre sur l’interface étiquetée.</w:t>
      </w:r>
    </w:p>
    <w:p>
      <w:pPr>
        <w:spacing w:after="60" w:before="140"/>
      </w:pPr>
      <w:r>
        <w:rPr>
          <w:rFonts w:ascii="IBM Plex Sans" w:cs="IBM Plex Sans" w:eastAsia="IBM Plex Sans" w:hAnsi="IBM Plex Sans"/>
          <w:b/>
          <w:bCs/>
          <w:i w:val="false"/>
          <w:iCs w:val="false"/>
          <w:caps/>
          <w:color w:val="5A6673"/>
          <w:spacing w:val="40"/>
          <w:sz w:val="16"/>
          <w:szCs w:val="16"/>
        </w:rPr>
        <w:t xml:space="preserve">Fichier   </w:t>
      </w:r>
      <w:r>
        <w:rPr>
          <w:rFonts w:ascii="IBM Plex Mono" w:cs="IBM Plex Mono" w:eastAsia="IBM Plex Mono" w:hAnsi="IBM Plex Mono"/>
          <w:b/>
          <w:bCs/>
          <w:i w:val="false"/>
          <w:iCs w:val="false"/>
          <w:caps w:val="false"/>
          <w:color w:val="1E3450"/>
          <w:sz w:val="18"/>
          <w:szCs w:val="18"/>
        </w:rPr>
        <w:t xml:space="preserve">/etc/network/interfaces</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auto vmbr0</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iface vmbr0 inet manual</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bridge-ports NIC_LAN</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bridge-stp off</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bridge-fd 0</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bridge-vlan-aware yes</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bridge-vids VID_LISTE</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auto vmbr0.VID_ADM</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iface vmbr0.VID_ADM inet static</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address IP_ADM_n/24</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        gateway GW_ADM</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Puis, sur le commutateur, retirer le segment natif des ports des hyperviseurs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configure</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interface range PORT_1-PORT_3</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switchport trunk native vlan 1</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exit</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end</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copy running-config startup-config</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A32017"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A32017"/>
                <w:spacing w:val="40"/>
                <w:sz w:val="16"/>
                <w:szCs w:val="16"/>
              </w:rPr>
              <w:t xml:space="preserve">ATTENTION — </w:t>
            </w:r>
            <w:r>
              <w:rPr>
                <w:rFonts w:ascii="IBM Plex Sans" w:cs="IBM Plex Sans" w:eastAsia="IBM Plex Sans" w:hAnsi="IBM Plex Sans"/>
                <w:b/>
                <w:bCs/>
                <w:i w:val="false"/>
                <w:iCs w:val="false"/>
                <w:caps w:val="false"/>
                <w:color w:val="0F1B2A"/>
                <w:sz w:val="19"/>
                <w:szCs w:val="19"/>
              </w:rPr>
              <w:t xml:space="preserve">Pourquoi le double adressage doit disparaître.</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Un hôte présent dans deux segments répond par l’interface directement connectée, et non par celle qui a reçu la demande. Un pare-feu à suivi d’état voit alors une session s’ouvrir sans jamais voir le retour, et la coupe. Le symptôme est une fermeture aléatoire des sessions d’administration, facilement imputée à tort au commutateur.</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2"/>
        <w:spacing w:after="120" w:before="300"/>
      </w:pPr>
      <w:r>
        <w:rPr>
          <w:rFonts w:ascii="IBM Plex Sans" w:cs="IBM Plex Sans" w:eastAsia="IBM Plex Sans" w:hAnsi="IBM Plex Sans"/>
          <w:b/>
          <w:bCs/>
          <w:i w:val="false"/>
          <w:iCs w:val="false"/>
          <w:caps w:val="false"/>
          <w:color w:val="11657E"/>
          <w:sz w:val="22"/>
          <w:szCs w:val="22"/>
        </w:rPr>
        <w:t xml:space="preserve">4.7   </w:t>
      </w:r>
      <w:r>
        <w:rPr>
          <w:rFonts w:ascii="IBM Plex Sans" w:cs="IBM Plex Sans" w:eastAsia="IBM Plex Sans" w:hAnsi="IBM Plex Sans"/>
          <w:b/>
          <w:bCs/>
          <w:i w:val="false"/>
          <w:iCs w:val="false"/>
          <w:caps w:val="false"/>
          <w:color w:val="1E3450"/>
          <w:sz w:val="22"/>
          <w:szCs w:val="22"/>
        </w:rPr>
        <w:t xml:space="preserve">Dépôts logiciels</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L’installation active par défaut un dépôt soumis à abonnement, qui renvoie une erreur d’autorisation à chaque mise à jour. Le remplacer par le dépôt communautaire sur les trois nœuds.</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Relever d’abord l’état réel, les noms de fichiers variant selon la version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60" w:before="60" w:line="260"/>
            </w:pPr>
            <w:r>
              <w:rPr>
                <w:rFonts w:ascii="IBM Plex Mono" w:cs="IBM Plex Mono" w:eastAsia="IBM Plex Mono" w:hAnsi="IBM Plex Mono"/>
                <w:b w:val="false"/>
                <w:bCs w:val="false"/>
                <w:i w:val="false"/>
                <w:iCs w:val="false"/>
                <w:caps w:val="false"/>
                <w:color w:val="15212E"/>
                <w:sz w:val="17"/>
                <w:szCs w:val="17"/>
              </w:rPr>
              <w:t xml:space="preserve">grep -rH '' /etc/apt/sources.list.d/ /etc/apt/sources.list 2&gt;/dev/null</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Réécrire intégralement les fichiers concernés plutôt que d’y ajouter une ligne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cat &gt; /etc/apt/sources.list.d/pve-enterprise.sources &lt;&lt;’EOF’</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Types: deb</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URIs: https://enterprise.proxmox.com/debian/pve</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Suites: &lt;nom de code de la base&gt;</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Components: pve-enterprise</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Signed-By: /usr/share/keyrings/proxmox-archive-keyring.gpg</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Enabled: false</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EOF</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cat &gt; /etc/apt/sources.list.d/pve-no-subscription.sources &lt;&lt;’EOF’</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Types: deb</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URIs: http://download.proxmox.com/debian/pve</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Suites: &lt;nom de code de la base&gt;</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Components: pve-no-subscription</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Signed-By: /usr/share/keyrings/proxmox-archive-keyring.gpg</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EOF</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apt update</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B57508"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B57508"/>
                <w:spacing w:val="40"/>
                <w:sz w:val="16"/>
                <w:szCs w:val="16"/>
              </w:rPr>
              <w:t xml:space="preserve">ATTENTION — </w:t>
            </w:r>
            <w:r>
              <w:rPr>
                <w:rFonts w:ascii="IBM Plex Sans" w:cs="IBM Plex Sans" w:eastAsia="IBM Plex Sans" w:hAnsi="IBM Plex Sans"/>
                <w:b/>
                <w:bCs/>
                <w:i w:val="false"/>
                <w:iCs w:val="false"/>
                <w:caps w:val="false"/>
                <w:color w:val="0F1B2A"/>
                <w:sz w:val="19"/>
                <w:szCs w:val="19"/>
              </w:rPr>
              <w:t xml:space="preserve">Ajout en fin de fichier.</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Ajouter une directive par redirection en fin de fichier produit une strophe malformée si le fichier ne se termine pas par un retour à la ligne. Le gestionnaire de paquets refuse alors de lire la totalité des sources. La réécriture complète évite le problème.</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Contrôle — la mise à jour des index doit se terminer sans erreur d’autorisation, et sans avertissement de source déclarée plusieurs fois.</w:t>
      </w:r>
    </w:p>
    <w:p>
      <w:pPr>
        <w:pStyle w:val="Heading2"/>
        <w:spacing w:after="120" w:before="300"/>
      </w:pPr>
      <w:r>
        <w:rPr>
          <w:rFonts w:ascii="IBM Plex Sans" w:cs="IBM Plex Sans" w:eastAsia="IBM Plex Sans" w:hAnsi="IBM Plex Sans"/>
          <w:b/>
          <w:bCs/>
          <w:i w:val="false"/>
          <w:iCs w:val="false"/>
          <w:caps w:val="false"/>
          <w:color w:val="11657E"/>
          <w:sz w:val="22"/>
          <w:szCs w:val="22"/>
        </w:rPr>
        <w:t xml:space="preserve">4.8   </w:t>
      </w:r>
      <w:r>
        <w:rPr>
          <w:rFonts w:ascii="IBM Plex Sans" w:cs="IBM Plex Sans" w:eastAsia="IBM Plex Sans" w:hAnsi="IBM Plex Sans"/>
          <w:b/>
          <w:bCs/>
          <w:i w:val="false"/>
          <w:iCs w:val="false"/>
          <w:caps w:val="false"/>
          <w:color w:val="1E3450"/>
          <w:sz w:val="22"/>
          <w:szCs w:val="22"/>
        </w:rPr>
        <w:t xml:space="preserve">Création de la grappe</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La grappe est initialisée sur un seul nœud, avec deux liens de cohérence. Le lien prioritaire emprunte le segment d’isolation ; le second, le segment d’administration.</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pvecm create NOM_GRAPPE \</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--link0 IP_ISO_1,priority=20 \</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  --link1 IP_ADM_1,priority=10</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Le mécanisme de priorité : seul le lien de priorité la plus élevée transporte le trafic de cohérence tant qu’il fonctionne. Déclarer en priorité basse un réseau utilisé par d’autres trafics est la stratégie recommandée : il ne sert que si le lien dédié tombe.</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Contrôle avant d’aller plus loin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pvecm status</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cat /etc/pve/corosync.conf</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La configuration doit comporter deux directives d’adresse par nœud et deux blocs d’interface portant les priorités déclarées. Une erreur constatée ici se corrige en détruisant la grappe, opération triviale tant qu’aucun nœud n’a adhéré.</w:t>
      </w:r>
    </w:p>
    <w:tbl>
      <w:tblPr>
        <w:tblW w:type="dxa" w:w="9360"/>
        <w:tblBorders>
          <w:top w:val="none" w:color="FFFFFF" w:sz="0"/>
          <w:left w:val="single" w:color="11657E"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11657E"/>
                <w:spacing w:val="40"/>
                <w:sz w:val="16"/>
                <w:szCs w:val="16"/>
              </w:rPr>
              <w:t xml:space="preserve">NOTE — </w:t>
            </w:r>
            <w:r>
              <w:rPr>
                <w:rFonts w:ascii="IBM Plex Sans" w:cs="IBM Plex Sans" w:eastAsia="IBM Plex Sans" w:hAnsi="IBM Plex Sans"/>
                <w:b/>
                <w:bCs/>
                <w:i w:val="false"/>
                <w:iCs w:val="false"/>
                <w:caps w:val="false"/>
                <w:color w:val="0F1B2A"/>
                <w:sz w:val="19"/>
                <w:szCs w:val="19"/>
              </w:rPr>
              <w:t xml:space="preserve">Redondance logique, pas physique.</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Lorsque les deux liens empruntent la même interface physique et le même port de commutation, la redondance ne protège ni d’une panne de carte, ni d’une panne de commutateur. Elle protège d’une erreur de configuration sur le segment d’isolation. Le coût étant nul, elle reste justifiée ; sa portée réelle doit être documentée.</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2"/>
        <w:spacing w:after="120" w:before="300"/>
      </w:pPr>
      <w:r>
        <w:rPr>
          <w:rFonts w:ascii="IBM Plex Sans" w:cs="IBM Plex Sans" w:eastAsia="IBM Plex Sans" w:hAnsi="IBM Plex Sans"/>
          <w:b/>
          <w:bCs/>
          <w:i w:val="false"/>
          <w:iCs w:val="false"/>
          <w:caps w:val="false"/>
          <w:color w:val="11657E"/>
          <w:sz w:val="22"/>
          <w:szCs w:val="22"/>
        </w:rPr>
        <w:t xml:space="preserve">4.9   </w:t>
      </w:r>
      <w:r>
        <w:rPr>
          <w:rFonts w:ascii="IBM Plex Sans" w:cs="IBM Plex Sans" w:eastAsia="IBM Plex Sans" w:hAnsi="IBM Plex Sans"/>
          <w:b/>
          <w:bCs/>
          <w:i w:val="false"/>
          <w:iCs w:val="false"/>
          <w:caps w:val="false"/>
          <w:color w:val="1E3450"/>
          <w:sz w:val="22"/>
          <w:szCs w:val="22"/>
        </w:rPr>
        <w:t xml:space="preserve">Adhésion des nœuds</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L’adhésion se lance depuis le nœud entrant, un nœud à la fois, en désignant le nœud initial par son nom pleinement qualifié.</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pvecm add HOTE_1.DOM_ADM \</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--link0 IP_ISO_n,priority=20 \</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  --link1 IP_ADM_n,priority=10</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B57508"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B57508"/>
                <w:spacing w:val="40"/>
                <w:sz w:val="16"/>
                <w:szCs w:val="16"/>
              </w:rPr>
              <w:t xml:space="preserve">ATTENTION — </w:t>
            </w:r>
            <w:r>
              <w:rPr>
                <w:rFonts w:ascii="IBM Plex Sans" w:cs="IBM Plex Sans" w:eastAsia="IBM Plex Sans" w:hAnsi="IBM Plex Sans"/>
                <w:b/>
                <w:bCs/>
                <w:i w:val="false"/>
                <w:iCs w:val="false"/>
                <w:caps w:val="false"/>
                <w:color w:val="0F1B2A"/>
                <w:sz w:val="19"/>
                <w:szCs w:val="19"/>
              </w:rPr>
              <w:t xml:space="preserve">Le nom d’accès n’est pas l’adresse de cohérence.</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Le premier argument désigne le point d’entrée de l’interface de programmation, joint en transport chiffré. Désigner l’adresse du segment d’isolation fait échouer la vérification du certificat, émis pour le nom pleinement qualifié. Les liens de cohérence restent déclarés séparément par les options dédiées.</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Contrôle après chaque adhésion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pvecm status</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pvecm nodes</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corosync-cfgtool -s</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A32017"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A32017"/>
                <w:spacing w:val="40"/>
                <w:sz w:val="16"/>
                <w:szCs w:val="16"/>
              </w:rPr>
              <w:t xml:space="preserve">ATTENTION — </w:t>
            </w:r>
            <w:r>
              <w:rPr>
                <w:rFonts w:ascii="IBM Plex Sans" w:cs="IBM Plex Sans" w:eastAsia="IBM Plex Sans" w:hAnsi="IBM Plex Sans"/>
                <w:b/>
                <w:bCs/>
                <w:i w:val="false"/>
                <w:iCs w:val="false"/>
                <w:caps w:val="false"/>
                <w:color w:val="0F1B2A"/>
                <w:sz w:val="19"/>
                <w:szCs w:val="19"/>
              </w:rPr>
              <w:t xml:space="preserve">Verrou résiduel.</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Une adhésion interrompue — par une coupure de session, notamment — laisse un processus en attente et un verrou. Toute nouvelle tentative échoue en délai d’attente. Vérifier la présence du processus avant de supprimer quoi que ce soit : retirer le verrou pendant une adhésion réelle corrompt la configuration partagée.</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ps aux | grep pvecm | grep -v grep</w:t>
            </w:r>
          </w:p>
          <w:p>
            <w:pPr>
              <w:spacing w:after="0" w:before="0" w:line="260"/>
            </w:pPr>
            <w:r>
              <w:rPr>
                <w:rFonts w:ascii="IBM Plex Mono" w:cs="IBM Plex Mono" w:eastAsia="IBM Plex Mono" w:hAnsi="IBM Plex Mono"/>
                <w:b w:val="false"/>
                <w:bCs w:val="false"/>
                <w:i w:val="false"/>
                <w:iCs w:val="false"/>
                <w:caps w:val="false"/>
                <w:color w:val="5A6673"/>
                <w:sz w:val="17"/>
                <w:szCs w:val="17"/>
              </w:rPr>
              <w:t xml:space="preserve"># si un processus est présent, le terminer avant toute autre action</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kill &lt;PID&gt;</w:t>
            </w:r>
          </w:p>
          <w:p>
            <w:pPr>
              <w:spacing w:after="0" w:before="0" w:line="260"/>
            </w:pPr>
            <w:r>
              <w:rPr>
                <w:rFonts w:ascii="IBM Plex Mono" w:cs="IBM Plex Mono" w:eastAsia="IBM Plex Mono" w:hAnsi="IBM Plex Mono"/>
                <w:b w:val="false"/>
                <w:bCs w:val="false"/>
                <w:i w:val="false"/>
                <w:iCs w:val="false"/>
                <w:caps w:val="false"/>
                <w:color w:val="5A6673"/>
                <w:sz w:val="17"/>
                <w:szCs w:val="17"/>
              </w:rPr>
              <w:t xml:space="preserve"># uniquement si plus aucun processus n’est actif</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ls -la /var/lock/pvecm.lock</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2"/>
        <w:spacing w:after="120" w:before="300"/>
      </w:pPr>
      <w:r>
        <w:rPr>
          <w:rFonts w:ascii="IBM Plex Sans" w:cs="IBM Plex Sans" w:eastAsia="IBM Plex Sans" w:hAnsi="IBM Plex Sans"/>
          <w:b/>
          <w:bCs/>
          <w:i w:val="false"/>
          <w:iCs w:val="false"/>
          <w:caps w:val="false"/>
          <w:color w:val="11657E"/>
          <w:sz w:val="22"/>
          <w:szCs w:val="22"/>
        </w:rPr>
        <w:t xml:space="preserve">4.10   </w:t>
      </w:r>
      <w:r>
        <w:rPr>
          <w:rFonts w:ascii="IBM Plex Sans" w:cs="IBM Plex Sans" w:eastAsia="IBM Plex Sans" w:hAnsi="IBM Plex Sans"/>
          <w:b/>
          <w:bCs/>
          <w:i w:val="false"/>
          <w:iCs w:val="false"/>
          <w:caps w:val="false"/>
          <w:color w:val="1E3450"/>
          <w:sz w:val="22"/>
          <w:szCs w:val="22"/>
        </w:rPr>
        <w:t xml:space="preserve">Déclaration des stockages</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Les volumes locaux propres à un nœud doivent être déclarés en restreignant explicitement leur portée à ce nœud.</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Inventaire préalable, et suppression des résidus d’une installation antérieure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lsblk</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vgs</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lvs -a</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5A6673"/>
                <w:sz w:val="17"/>
                <w:szCs w:val="17"/>
              </w:rPr>
              <w:t xml:space="preserve"># suppression d’un volume résiduel, après vérification de son contenu</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lvremove -f &lt;groupe&gt;/&lt;volume&gt;</w:t>
            </w:r>
          </w:p>
          <w:p>
            <w:pPr>
              <w:spacing w:after="0" w:before="0" w:line="260"/>
            </w:pPr>
            <w:r>
              <w:rPr>
                <w:rFonts w:ascii="IBM Plex Mono" w:cs="IBM Plex Mono" w:eastAsia="IBM Plex Mono" w:hAnsi="IBM Plex Mono"/>
                <w:b w:val="false"/>
                <w:bCs w:val="false"/>
                <w:i w:val="false"/>
                <w:iCs w:val="false"/>
                <w:caps w:val="false"/>
                <w:color w:val="5A6673"/>
                <w:sz w:val="17"/>
                <w:szCs w:val="17"/>
              </w:rPr>
              <w:t xml:space="preserve"># récupération de l’espace libéré</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lvextend -l +100%FREE &lt;groupe&gt;/&lt;reservoir&gt;</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A32017"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A32017"/>
                <w:spacing w:val="40"/>
                <w:sz w:val="16"/>
                <w:szCs w:val="16"/>
              </w:rPr>
              <w:t xml:space="preserve">ATTENTION — </w:t>
            </w:r>
            <w:r>
              <w:rPr>
                <w:rFonts w:ascii="IBM Plex Sans" w:cs="IBM Plex Sans" w:eastAsia="IBM Plex Sans" w:hAnsi="IBM Plex Sans"/>
                <w:b/>
                <w:bCs/>
                <w:i w:val="false"/>
                <w:iCs w:val="false"/>
                <w:caps w:val="false"/>
                <w:color w:val="0F1B2A"/>
                <w:sz w:val="19"/>
                <w:szCs w:val="19"/>
              </w:rPr>
              <w:t xml:space="preserve">Opération destructive.</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La suppression d’un volume logique est immédiate et irréversible. Une réinstallation du système ne touche pas aux disques de données : des volumes d’instances antérieures peuvent y subsister. Inspecter le contenu avant de supprimer.</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5A6673"/>
                <w:sz w:val="17"/>
                <w:szCs w:val="17"/>
              </w:rPr>
              <w:t xml:space="preserve"># inspection non destructive d’un volume résiduel</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lvchange -ay &lt;groupe&gt;/&lt;volume&gt;</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lsblk -f /dev/&lt;groupe&gt;/&lt;volume&gt;</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Déclaration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pvesm add lvmthin &lt;nom&gt; --vgname &lt;groupe&gt; --thinpool &lt;reservoir&gt; \</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  --content rootdir,images --nodes HOTE_n</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pvesm status</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B57508"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B57508"/>
                <w:spacing w:val="40"/>
                <w:sz w:val="16"/>
                <w:szCs w:val="16"/>
              </w:rPr>
              <w:t xml:space="preserve">ATTENTION — </w:t>
            </w:r>
            <w:r>
              <w:rPr>
                <w:rFonts w:ascii="IBM Plex Sans" w:cs="IBM Plex Sans" w:eastAsia="IBM Plex Sans" w:hAnsi="IBM Plex Sans"/>
                <w:b/>
                <w:bCs/>
                <w:i w:val="false"/>
                <w:iCs w:val="false"/>
                <w:caps w:val="false"/>
                <w:color w:val="0F1B2A"/>
                <w:sz w:val="19"/>
                <w:szCs w:val="19"/>
              </w:rPr>
              <w:t xml:space="preserve">Restreindre au nœud propriétaire.</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Sans restriction explicite, le stockage est déclaré disponible sur tous les nœuds et génère des erreurs permanentes sur ceux qui ne possèdent pas le groupe de volumes.</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11657E"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11657E"/>
                <w:spacing w:val="40"/>
                <w:sz w:val="16"/>
                <w:szCs w:val="16"/>
              </w:rPr>
              <w:t xml:space="preserve">NOTE — </w:t>
            </w:r>
            <w:r>
              <w:rPr>
                <w:rFonts w:ascii="IBM Plex Sans" w:cs="IBM Plex Sans" w:eastAsia="IBM Plex Sans" w:hAnsi="IBM Plex Sans"/>
                <w:b/>
                <w:bCs/>
                <w:i w:val="false"/>
                <w:iCs w:val="false"/>
                <w:caps w:val="false"/>
                <w:color w:val="0F1B2A"/>
                <w:sz w:val="19"/>
                <w:szCs w:val="19"/>
              </w:rPr>
              <w:t xml:space="preserve">Types de contenu.</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Un réservoir à allocation fine expose des volumes en mode bloc : il n’accepte que les disques d’instances. Les sauvegardes, images d’installation et gabarits exigent un stockage de type fichier, donc un système de fichiers monté et déclaré séparément.</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2"/>
        <w:spacing w:after="120" w:before="300"/>
      </w:pPr>
      <w:r>
        <w:rPr>
          <w:rFonts w:ascii="IBM Plex Sans" w:cs="IBM Plex Sans" w:eastAsia="IBM Plex Sans" w:hAnsi="IBM Plex Sans"/>
          <w:b/>
          <w:bCs/>
          <w:i w:val="false"/>
          <w:iCs w:val="false"/>
          <w:caps w:val="false"/>
          <w:color w:val="11657E"/>
          <w:sz w:val="22"/>
          <w:szCs w:val="22"/>
        </w:rPr>
        <w:t xml:space="preserve">4.11   </w:t>
      </w:r>
      <w:r>
        <w:rPr>
          <w:rFonts w:ascii="IBM Plex Sans" w:cs="IBM Plex Sans" w:eastAsia="IBM Plex Sans" w:hAnsi="IBM Plex Sans"/>
          <w:b/>
          <w:bCs/>
          <w:i w:val="false"/>
          <w:iCs w:val="false"/>
          <w:caps w:val="false"/>
          <w:color w:val="1E3450"/>
          <w:sz w:val="22"/>
          <w:szCs w:val="22"/>
        </w:rPr>
        <w:t xml:space="preserve">Groupe d’administration</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L’utilisateur privilégié hérité du système ne doit pas rester le seul moyen d’administration. Trois objets distincts interviennent : l’utilisateur, le groupe, et la règle de contrôle d’accès qui associe un groupe à un rôle sur un chemin.</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pveum group add GRP_ADM -comment "Administration de la grappe"</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pveum acl modify / -group GRP_ADM -role Administrator</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pveum user add &lt;identifiant&gt;@pve -groups GRP_ADM</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pveum passwd &lt;identifiant&gt;@pve</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Contrôle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pveum group list</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pveum acl list</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pveum user list</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11657E"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11657E"/>
                <w:spacing w:val="40"/>
                <w:sz w:val="16"/>
                <w:szCs w:val="16"/>
              </w:rPr>
              <w:t xml:space="preserve">NOTE — </w:t>
            </w:r>
            <w:r>
              <w:rPr>
                <w:rFonts w:ascii="IBM Plex Sans" w:cs="IBM Plex Sans" w:eastAsia="IBM Plex Sans" w:hAnsi="IBM Plex Sans"/>
                <w:b/>
                <w:bCs/>
                <w:i w:val="false"/>
                <w:iCs w:val="false"/>
                <w:caps w:val="false"/>
                <w:color w:val="0F1B2A"/>
                <w:sz w:val="19"/>
                <w:szCs w:val="19"/>
              </w:rPr>
              <w:t xml:space="preserve">Portée de la règle.</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Le chemin racine fait descendre la règle sur l’ensemble des objets. Le rôle d’administration couvre tous les privilèges ; un rôle plus étroit convient dès lors que plusieurs profils coexistent.</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1"/>
        <w:pBdr>
          <w:bottom w:val="single" w:color="C9D2DB" w:sz="6"/>
        </w:pBdr>
        <w:spacing w:after="180" w:before="420"/>
      </w:pPr>
      <w:r>
        <w:rPr>
          <w:rFonts w:ascii="IBM Plex Sans" w:cs="IBM Plex Sans" w:eastAsia="IBM Plex Sans" w:hAnsi="IBM Plex Sans"/>
          <w:b/>
          <w:bCs/>
          <w:i w:val="false"/>
          <w:iCs w:val="false"/>
          <w:caps w:val="false"/>
          <w:color w:val="B57508"/>
          <w:sz w:val="26"/>
          <w:szCs w:val="26"/>
        </w:rPr>
        <w:t xml:space="preserve">5   </w:t>
      </w:r>
      <w:r>
        <w:rPr>
          <w:rFonts w:ascii="IBM Plex Sans" w:cs="IBM Plex Sans" w:eastAsia="IBM Plex Sans" w:hAnsi="IBM Plex Sans"/>
          <w:b/>
          <w:bCs/>
          <w:i w:val="false"/>
          <w:iCs w:val="false"/>
          <w:caps w:val="false"/>
          <w:color w:val="0F1B2A"/>
          <w:sz w:val="26"/>
          <w:szCs w:val="26"/>
        </w:rPr>
        <w:t xml:space="preserve">Intégration réseau</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Synthèse des éléments à consigner au dossier d’exploitation à l’issue de la mise en service.</w:t>
      </w:r>
    </w:p>
    <w:p>
      <w:pPr>
        <w:pStyle w:val="Heading3"/>
        <w:spacing w:after="100" w:before="220"/>
      </w:pPr>
      <w:r>
        <w:rPr>
          <w:rFonts w:ascii="IBM Plex Sans" w:cs="IBM Plex Sans" w:eastAsia="IBM Plex Sans" w:hAnsi="IBM Plex Sans"/>
          <w:b/>
          <w:bCs/>
          <w:i w:val="false"/>
          <w:iCs w:val="false"/>
          <w:caps w:val="false"/>
          <w:color w:val="1E3450"/>
          <w:sz w:val="20"/>
          <w:szCs w:val="20"/>
        </w:rPr>
        <w:t xml:space="preserve">Adressage par nœud</w:t>
      </w:r>
    </w:p>
    <w:tbl>
      <w:tblPr>
        <w:tblW w:type="dxa" w:w="9360"/>
        <w:tblBorders>
          <w:top w:val="single" w:color="0F1B2A" w:sz="4"/>
          <w:left w:val="none" w:color="FFFFFF" w:sz="0"/>
          <w:bottom w:val="single" w:color="0F1B2A" w:sz="4"/>
          <w:right w:val="none" w:color="FFFFFF" w:sz="0"/>
          <w:insideH w:val="single" w:color="C9D2DB" w:sz="4"/>
          <w:insideV w:val="none" w:color="FFFFFF" w:sz="0"/>
        </w:tblBorders>
      </w:tblPr>
      <w:tblGrid>
        <w:gridCol w:w="2100"/>
        <w:gridCol w:w="2420"/>
        <w:gridCol w:w="2420"/>
        <w:gridCol w:w="2420"/>
      </w:tblGrid>
      <w:tr>
        <w:trPr>
          <w:tblHeader/>
        </w:trPr>
        <w:tc>
          <w:tcPr>
            <w:tcW w:type="dxa" w:w="21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Élément</w:t>
            </w:r>
          </w:p>
        </w:tc>
        <w:tc>
          <w:tcPr>
            <w:tcW w:type="dxa" w:w="242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Nœud 1</w:t>
            </w:r>
          </w:p>
        </w:tc>
        <w:tc>
          <w:tcPr>
            <w:tcW w:type="dxa" w:w="242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Nœud 2</w:t>
            </w:r>
          </w:p>
        </w:tc>
        <w:tc>
          <w:tcPr>
            <w:tcW w:type="dxa" w:w="242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Nœud 3</w:t>
            </w:r>
          </w:p>
        </w:tc>
      </w:tr>
      <w:tr>
        <w:tc>
          <w:tcPr>
            <w:tcW w:type="dxa" w:w="21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Interface physique</w:t>
            </w:r>
          </w:p>
        </w:tc>
        <w:tc>
          <w:tcPr>
            <w:tcW w:type="dxa" w:w="24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NIC_LAN</w:t>
            </w:r>
          </w:p>
        </w:tc>
        <w:tc>
          <w:tcPr>
            <w:tcW w:type="dxa" w:w="24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NIC_LAN</w:t>
            </w:r>
          </w:p>
        </w:tc>
        <w:tc>
          <w:tcPr>
            <w:tcW w:type="dxa" w:w="24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NIC_LAN</w:t>
            </w:r>
          </w:p>
        </w:tc>
      </w:tr>
      <w:tr>
        <w:tc>
          <w:tcPr>
            <w:tcW w:type="dxa" w:w="21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Administration</w:t>
            </w:r>
          </w:p>
        </w:tc>
        <w:tc>
          <w:tcPr>
            <w:tcW w:type="dxa" w:w="24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vmbr0.VID_ADM</w:t>
            </w:r>
          </w:p>
        </w:tc>
        <w:tc>
          <w:tcPr>
            <w:tcW w:type="dxa" w:w="24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vmbr0.VID_ADM</w:t>
            </w:r>
          </w:p>
        </w:tc>
        <w:tc>
          <w:tcPr>
            <w:tcW w:type="dxa" w:w="24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vmbr0.VID_ADM</w:t>
            </w:r>
          </w:p>
        </w:tc>
      </w:tr>
      <w:tr>
        <w:tc>
          <w:tcPr>
            <w:tcW w:type="dxa" w:w="21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Adresse d’administration</w:t>
            </w:r>
          </w:p>
        </w:tc>
        <w:tc>
          <w:tcPr>
            <w:tcW w:type="dxa" w:w="24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IP_ADM_1</w:t>
            </w:r>
          </w:p>
        </w:tc>
        <w:tc>
          <w:tcPr>
            <w:tcW w:type="dxa" w:w="24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IP_ADM_2</w:t>
            </w:r>
          </w:p>
        </w:tc>
        <w:tc>
          <w:tcPr>
            <w:tcW w:type="dxa" w:w="24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IP_ADM_3</w:t>
            </w:r>
          </w:p>
        </w:tc>
      </w:tr>
      <w:tr>
        <w:tc>
          <w:tcPr>
            <w:tcW w:type="dxa" w:w="21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Cohérence</w:t>
            </w:r>
          </w:p>
        </w:tc>
        <w:tc>
          <w:tcPr>
            <w:tcW w:type="dxa" w:w="24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vmbr0.VID_ISO</w:t>
            </w:r>
          </w:p>
        </w:tc>
        <w:tc>
          <w:tcPr>
            <w:tcW w:type="dxa" w:w="24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vmbr0.VID_ISO</w:t>
            </w:r>
          </w:p>
        </w:tc>
        <w:tc>
          <w:tcPr>
            <w:tcW w:type="dxa" w:w="24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vmbr0.VID_ISO</w:t>
            </w:r>
          </w:p>
        </w:tc>
      </w:tr>
      <w:tr>
        <w:tc>
          <w:tcPr>
            <w:tcW w:type="dxa" w:w="21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Adresse de cohérence</w:t>
            </w:r>
          </w:p>
        </w:tc>
        <w:tc>
          <w:tcPr>
            <w:tcW w:type="dxa" w:w="24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IP_ISO_1</w:t>
            </w:r>
          </w:p>
        </w:tc>
        <w:tc>
          <w:tcPr>
            <w:tcW w:type="dxa" w:w="24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IP_ISO_2</w:t>
            </w:r>
          </w:p>
        </w:tc>
        <w:tc>
          <w:tcPr>
            <w:tcW w:type="dxa" w:w="24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IP_ISO_3</w:t>
            </w:r>
          </w:p>
        </w:tc>
      </w:tr>
      <w:tr>
        <w:tc>
          <w:tcPr>
            <w:tcW w:type="dxa" w:w="21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Passerelle</w:t>
            </w:r>
          </w:p>
        </w:tc>
        <w:tc>
          <w:tcPr>
            <w:tcW w:type="dxa" w:w="24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GW_ADM</w:t>
            </w:r>
          </w:p>
        </w:tc>
        <w:tc>
          <w:tcPr>
            <w:tcW w:type="dxa" w:w="24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GW_ADM</w:t>
            </w:r>
          </w:p>
        </w:tc>
        <w:tc>
          <w:tcPr>
            <w:tcW w:type="dxa" w:w="242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GW_ADM</w:t>
            </w:r>
          </w:p>
        </w:tc>
      </w:tr>
      <w:tr>
        <w:tc>
          <w:tcPr>
            <w:tcW w:type="dxa" w:w="21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Port de commutation</w:t>
            </w:r>
          </w:p>
        </w:tc>
        <w:tc>
          <w:tcPr>
            <w:tcW w:type="dxa" w:w="24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PORT_1</w:t>
            </w:r>
          </w:p>
        </w:tc>
        <w:tc>
          <w:tcPr>
            <w:tcW w:type="dxa" w:w="24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PORT_2</w:t>
            </w:r>
          </w:p>
        </w:tc>
        <w:tc>
          <w:tcPr>
            <w:tcW w:type="dxa" w:w="242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PORT_3</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3"/>
        <w:spacing w:after="100" w:before="220"/>
      </w:pPr>
      <w:r>
        <w:rPr>
          <w:rFonts w:ascii="IBM Plex Sans" w:cs="IBM Plex Sans" w:eastAsia="IBM Plex Sans" w:hAnsi="IBM Plex Sans"/>
          <w:b/>
          <w:bCs/>
          <w:i w:val="false"/>
          <w:iCs w:val="false"/>
          <w:caps w:val="false"/>
          <w:color w:val="1E3450"/>
          <w:sz w:val="20"/>
          <w:szCs w:val="20"/>
        </w:rPr>
        <w:t xml:space="preserve">Flux</w:t>
      </w:r>
    </w:p>
    <w:tbl>
      <w:tblPr>
        <w:tblW w:type="dxa" w:w="9360"/>
        <w:tblBorders>
          <w:top w:val="single" w:color="0F1B2A" w:sz="4"/>
          <w:left w:val="none" w:color="FFFFFF" w:sz="0"/>
          <w:bottom w:val="single" w:color="0F1B2A" w:sz="4"/>
          <w:right w:val="none" w:color="FFFFFF" w:sz="0"/>
          <w:insideH w:val="single" w:color="C9D2DB" w:sz="4"/>
          <w:insideV w:val="none" w:color="FFFFFF" w:sz="0"/>
        </w:tblBorders>
      </w:tblPr>
      <w:tblGrid>
        <w:gridCol w:w="2200"/>
        <w:gridCol w:w="1500"/>
        <w:gridCol w:w="2100"/>
        <w:gridCol w:w="3560"/>
      </w:tblGrid>
      <w:tr>
        <w:trPr>
          <w:tblHeader/>
        </w:trPr>
        <w:tc>
          <w:tcPr>
            <w:tcW w:type="dxa" w:w="22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Flux</w:t>
            </w:r>
          </w:p>
        </w:tc>
        <w:tc>
          <w:tcPr>
            <w:tcW w:type="dxa" w:w="15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Protocole</w:t>
            </w:r>
          </w:p>
        </w:tc>
        <w:tc>
          <w:tcPr>
            <w:tcW w:type="dxa" w:w="21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Ports</w:t>
            </w:r>
          </w:p>
        </w:tc>
        <w:tc>
          <w:tcPr>
            <w:tcW w:type="dxa" w:w="356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Portée</w:t>
            </w:r>
          </w:p>
        </w:tc>
      </w:tr>
      <w:tr>
        <w:tc>
          <w:tcPr>
            <w:tcW w:type="dxa" w:w="22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Interface web d’administration</w:t>
            </w:r>
          </w:p>
        </w:tc>
        <w:tc>
          <w:tcPr>
            <w:tcW w:type="dxa" w:w="150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TCP</w:t>
            </w:r>
          </w:p>
        </w:tc>
        <w:tc>
          <w:tcPr>
            <w:tcW w:type="dxa" w:w="210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8006</w:t>
            </w:r>
          </w:p>
        </w:tc>
        <w:tc>
          <w:tcPr>
            <w:tcW w:type="dxa" w:w="35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Poste d’administration vers chaque nœud</w:t>
            </w:r>
          </w:p>
        </w:tc>
      </w:tr>
      <w:tr>
        <w:tc>
          <w:tcPr>
            <w:tcW w:type="dxa" w:w="22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Console distante</w:t>
            </w:r>
          </w:p>
        </w:tc>
        <w:tc>
          <w:tcPr>
            <w:tcW w:type="dxa" w:w="150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TCP</w:t>
            </w:r>
          </w:p>
        </w:tc>
        <w:tc>
          <w:tcPr>
            <w:tcW w:type="dxa" w:w="210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22</w:t>
            </w:r>
          </w:p>
        </w:tc>
        <w:tc>
          <w:tcPr>
            <w:tcW w:type="dxa" w:w="35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Poste d’administration vers chaque nœud</w:t>
            </w:r>
          </w:p>
        </w:tc>
      </w:tr>
      <w:tr>
        <w:tc>
          <w:tcPr>
            <w:tcW w:type="dxa" w:w="22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Cohérence de grappe</w:t>
            </w:r>
          </w:p>
        </w:tc>
        <w:tc>
          <w:tcPr>
            <w:tcW w:type="dxa" w:w="150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UDP</w:t>
            </w:r>
          </w:p>
        </w:tc>
        <w:tc>
          <w:tcPr>
            <w:tcW w:type="dxa" w:w="210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5405 – 5412</w:t>
            </w:r>
          </w:p>
        </w:tc>
        <w:tc>
          <w:tcPr>
            <w:tcW w:type="dxa" w:w="35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Entre nœuds, sur les deux liens déclarés</w:t>
            </w:r>
          </w:p>
        </w:tc>
      </w:tr>
      <w:tr>
        <w:tc>
          <w:tcPr>
            <w:tcW w:type="dxa" w:w="22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Migration d’instance</w:t>
            </w:r>
          </w:p>
        </w:tc>
        <w:tc>
          <w:tcPr>
            <w:tcW w:type="dxa" w:w="150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TCP</w:t>
            </w:r>
          </w:p>
        </w:tc>
        <w:tc>
          <w:tcPr>
            <w:tcW w:type="dxa" w:w="2100"/>
            <w:shd w:fill="EDF1F5"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60000 – 60050</w:t>
            </w:r>
          </w:p>
        </w:tc>
        <w:tc>
          <w:tcPr>
            <w:tcW w:type="dxa" w:w="35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Entre nœuds</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11657E"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11657E"/>
                <w:spacing w:val="40"/>
                <w:sz w:val="16"/>
                <w:szCs w:val="16"/>
              </w:rPr>
              <w:t xml:space="preserve">NOTE — </w:t>
            </w:r>
            <w:r>
              <w:rPr>
                <w:rFonts w:ascii="IBM Plex Sans" w:cs="IBM Plex Sans" w:eastAsia="IBM Plex Sans" w:hAnsi="IBM Plex Sans"/>
                <w:b/>
                <w:bCs/>
                <w:i w:val="false"/>
                <w:iCs w:val="false"/>
                <w:caps w:val="false"/>
                <w:color w:val="0F1B2A"/>
                <w:sz w:val="19"/>
                <w:szCs w:val="19"/>
              </w:rPr>
              <w:t xml:space="preserve">Exigence de latence.</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Le mécanisme de cohérence tolère mal la latence et la perte de paquets. Une latence inférieure à cinq millisecondes entre nœuds est attendue. Sur un réseau local commuté, la contrainte est satisfaite ; elle exclut en revanche tout lien traversé par un trafic saturant.</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3"/>
        <w:spacing w:after="100" w:before="220"/>
      </w:pPr>
      <w:r>
        <w:rPr>
          <w:rFonts w:ascii="IBM Plex Sans" w:cs="IBM Plex Sans" w:eastAsia="IBM Plex Sans" w:hAnsi="IBM Plex Sans"/>
          <w:b/>
          <w:bCs/>
          <w:i w:val="false"/>
          <w:iCs w:val="false"/>
          <w:caps w:val="false"/>
          <w:color w:val="1E3450"/>
          <w:sz w:val="20"/>
          <w:szCs w:val="20"/>
        </w:rPr>
        <w:t xml:space="preserve">Dépendances</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Routage inter-segments assuré par le pare-feu portant GW_ADM. Sa perte isole les nœuds du poste d’administration mais n’affecte pas la cohérence, portée par un segment non routé.</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Lien agrégé entre le commutateur et le routeur : sa perte supprime tout routage entre segments.</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Résolution des noms : locale pendant la mise en service, à migrer vers le service de noms interne dès son déploiement.</w:t>
      </w:r>
    </w:p>
    <w:p>
      <w:pPr>
        <w:pStyle w:val="Heading1"/>
        <w:pBdr>
          <w:bottom w:val="single" w:color="C9D2DB" w:sz="6"/>
        </w:pBdr>
        <w:spacing w:after="180" w:before="420"/>
      </w:pPr>
      <w:r>
        <w:rPr>
          <w:rFonts w:ascii="IBM Plex Sans" w:cs="IBM Plex Sans" w:eastAsia="IBM Plex Sans" w:hAnsi="IBM Plex Sans"/>
          <w:b/>
          <w:bCs/>
          <w:i w:val="false"/>
          <w:iCs w:val="false"/>
          <w:caps w:val="false"/>
          <w:color w:val="B57508"/>
          <w:sz w:val="26"/>
          <w:szCs w:val="26"/>
        </w:rPr>
        <w:t xml:space="preserve">6   </w:t>
      </w:r>
      <w:r>
        <w:rPr>
          <w:rFonts w:ascii="IBM Plex Sans" w:cs="IBM Plex Sans" w:eastAsia="IBM Plex Sans" w:hAnsi="IBM Plex Sans"/>
          <w:b/>
          <w:bCs/>
          <w:i w:val="false"/>
          <w:iCs w:val="false"/>
          <w:caps w:val="false"/>
          <w:color w:val="0F1B2A"/>
          <w:sz w:val="26"/>
          <w:szCs w:val="26"/>
        </w:rPr>
        <w:t xml:space="preserve">Durcissement et sécurité</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Isoler l’interface d’administration des hyperviseurs dans un segment distinct de celui des instances hébergées. Une instance compromise ne doit pas être adjacente au niveau liaison à l’interface d’administration de son propre hôte.</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Maintenir le segment de cohérence non routé et dépourvu de passerelle.</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Désactiver et neutraliser toute interface sans fil présente sur les nœuds : elle constitue un chemin hors du plan de segmentation, invisible du pare-feu comme du commutateur.</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Authentifier l’accès distant par clé publique et refuser l’authentification par secret partagé.</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Créer un compte d’administration nominatif et réserver l’utilisateur privilégié hérité du système aux interventions de secours.</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Activer le filtrage applicatif au niveau de la grappe et n’autoriser les ports d’administration que depuis le segment d’administration.</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Consigner toute dérogation — modification manuelle d’un fichier fourni par un paquet, en particulier — avec sa justification et sa durée de validité.</w:t>
      </w:r>
    </w:p>
    <w:tbl>
      <w:tblPr>
        <w:tblW w:type="dxa" w:w="9360"/>
        <w:tblBorders>
          <w:top w:val="none" w:color="FFFFFF" w:sz="0"/>
          <w:left w:val="single" w:color="B57508"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B57508"/>
                <w:spacing w:val="40"/>
                <w:sz w:val="16"/>
                <w:szCs w:val="16"/>
              </w:rPr>
              <w:t xml:space="preserve">ATTENTION — </w:t>
            </w:r>
            <w:r>
              <w:rPr>
                <w:rFonts w:ascii="IBM Plex Sans" w:cs="IBM Plex Sans" w:eastAsia="IBM Plex Sans" w:hAnsi="IBM Plex Sans"/>
                <w:b/>
                <w:bCs/>
                <w:i w:val="false"/>
                <w:iCs w:val="false"/>
                <w:caps w:val="false"/>
                <w:color w:val="0F1B2A"/>
                <w:sz w:val="19"/>
                <w:szCs w:val="19"/>
              </w:rPr>
              <w:t xml:space="preserve">Filtrage applicatif.</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L’activation du filtrage au niveau de la grappe s’applique immédiatement à tous les nœuds. Une règle par défaut trop restrictive coupe simultanément l’accès aux trois. N’entreprendre l’opération qu’avec la console physique disponible.</w:t>
            </w:r>
          </w:p>
        </w:tc>
      </w:tr>
    </w:tbl>
    <w:p>
      <w:pPr>
        <w:spacing w:after="80"/>
      </w:pPr>
      <w:r>
        <w:rPr>
          <w:rFonts w:ascii="IBM Plex Sans" w:cs="IBM Plex Sans" w:eastAsia="IBM Plex Sans" w:hAnsi="IBM Plex Sans"/>
          <w:b w:val="false"/>
          <w:bCs w:val="false"/>
          <w:i w:val="false"/>
          <w:iCs w:val="false"/>
          <w:caps w:val="false"/>
          <w:color w:val="1A1A1A"/>
          <w:sz w:val="2"/>
          <w:szCs w:val="2"/>
        </w:rPr>
        <w:t xml:space="preserve"> </w:t>
      </w:r>
    </w:p>
    <w:tbl>
      <w:tblPr>
        <w:tblW w:type="dxa" w:w="9360"/>
        <w:tblBorders>
          <w:top w:val="none" w:color="FFFFFF" w:sz="0"/>
          <w:left w:val="single" w:color="11657E" w:sz="18"/>
          <w:bottom w:val="none" w:color="FFFFFF" w:sz="0"/>
          <w:right w:val="none" w:color="FFFFFF" w:sz="0"/>
          <w:insideH w:val="none" w:color="FFFFFF" w:sz="0"/>
          <w:insideV w:val="none" w:color="FFFFFF" w:sz="0"/>
        </w:tblBorders>
      </w:tblPr>
      <w:tblGrid>
        <w:gridCol w:w="9360"/>
      </w:tblGrid>
      <w:tr>
        <w:tc>
          <w:tcPr>
            <w:tcW w:type="dxa" w:w="9360"/>
            <w:shd w:fill="FAFBFC" w:color="auto" w:val="clear"/>
            <w:tcMar>
              <w:top w:type="dxa" w:w="130"/>
              <w:left w:type="dxa" w:w="180"/>
              <w:bottom w:type="dxa" w:w="130"/>
              <w:right w:type="dxa" w:w="160"/>
            </w:tcMar>
          </w:tcPr>
          <w:p>
            <w:pPr>
              <w:spacing w:after="60"/>
            </w:pPr>
            <w:r>
              <w:rPr>
                <w:rFonts w:ascii="IBM Plex Sans" w:cs="IBM Plex Sans" w:eastAsia="IBM Plex Sans" w:hAnsi="IBM Plex Sans"/>
                <w:b/>
                <w:bCs/>
                <w:i w:val="false"/>
                <w:iCs w:val="false"/>
                <w:caps/>
                <w:color w:val="11657E"/>
                <w:spacing w:val="40"/>
                <w:sz w:val="16"/>
                <w:szCs w:val="16"/>
              </w:rPr>
              <w:t xml:space="preserve">NOTE — </w:t>
            </w:r>
            <w:r>
              <w:rPr>
                <w:rFonts w:ascii="IBM Plex Sans" w:cs="IBM Plex Sans" w:eastAsia="IBM Plex Sans" w:hAnsi="IBM Plex Sans"/>
                <w:b/>
                <w:bCs/>
                <w:i w:val="false"/>
                <w:iCs w:val="false"/>
                <w:caps w:val="false"/>
                <w:color w:val="0F1B2A"/>
                <w:sz w:val="19"/>
                <w:szCs w:val="19"/>
              </w:rPr>
              <w:t xml:space="preserve">Absence de sauvegarde à ce stade.</w:t>
            </w:r>
          </w:p>
          <w:p>
            <w:pPr>
              <w:spacing w:after="0" w:line="280"/>
              <w:jc w:val="both"/>
            </w:pPr>
            <w:r>
              <w:rPr>
                <w:rFonts w:ascii="IBM Plex Sans" w:cs="IBM Plex Sans" w:eastAsia="IBM Plex Sans" w:hAnsi="IBM Plex Sans"/>
                <w:b w:val="false"/>
                <w:bCs w:val="false"/>
                <w:i w:val="false"/>
                <w:iCs w:val="false"/>
                <w:caps w:val="false"/>
                <w:color w:val="1A1A1A"/>
                <w:sz w:val="19"/>
                <w:szCs w:val="19"/>
              </w:rPr>
              <w:t xml:space="preserve">Aucun mécanisme de sauvegarde n’est mis en place par cette procédure. Tant qu’il n’existe pas, la perte d’un nœud entraîne la perte de ses instances. Ce point doit être traité avant toute mise en production.</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1"/>
        <w:pBdr>
          <w:bottom w:val="single" w:color="C9D2DB" w:sz="6"/>
        </w:pBdr>
        <w:spacing w:after="180" w:before="420"/>
      </w:pPr>
      <w:r>
        <w:rPr>
          <w:rFonts w:ascii="IBM Plex Sans" w:cs="IBM Plex Sans" w:eastAsia="IBM Plex Sans" w:hAnsi="IBM Plex Sans"/>
          <w:b/>
          <w:bCs/>
          <w:i w:val="false"/>
          <w:iCs w:val="false"/>
          <w:caps w:val="false"/>
          <w:color w:val="B57508"/>
          <w:sz w:val="26"/>
          <w:szCs w:val="26"/>
        </w:rPr>
        <w:t xml:space="preserve">7   </w:t>
      </w:r>
      <w:r>
        <w:rPr>
          <w:rFonts w:ascii="IBM Plex Sans" w:cs="IBM Plex Sans" w:eastAsia="IBM Plex Sans" w:hAnsi="IBM Plex Sans"/>
          <w:b/>
          <w:bCs/>
          <w:i w:val="false"/>
          <w:iCs w:val="false"/>
          <w:caps w:val="false"/>
          <w:color w:val="0F1B2A"/>
          <w:sz w:val="26"/>
          <w:szCs w:val="26"/>
        </w:rPr>
        <w:t xml:space="preserve">Vérifications finales</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Chaque contrôle est mesurable et se prononce sur une sortie observable.</w:t>
      </w:r>
    </w:p>
    <w:tbl>
      <w:tblPr>
        <w:tblW w:type="dxa" w:w="9360"/>
        <w:tblBorders>
          <w:top w:val="single" w:color="0F1B2A" w:sz="4"/>
          <w:left w:val="none" w:color="FFFFFF" w:sz="0"/>
          <w:bottom w:val="single" w:color="0F1B2A" w:sz="4"/>
          <w:right w:val="none" w:color="FFFFFF" w:sz="0"/>
          <w:insideH w:val="single" w:color="C9D2DB" w:sz="4"/>
          <w:insideV w:val="none" w:color="FFFFFF" w:sz="0"/>
        </w:tblBorders>
      </w:tblPr>
      <w:tblGrid>
        <w:gridCol w:w="2400"/>
        <w:gridCol w:w="5860"/>
        <w:gridCol w:w="1100"/>
      </w:tblGrid>
      <w:tr>
        <w:trPr>
          <w:tblHeader/>
        </w:trPr>
        <w:tc>
          <w:tcPr>
            <w:tcW w:type="dxa" w:w="24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Contrôle</w:t>
            </w:r>
          </w:p>
        </w:tc>
        <w:tc>
          <w:tcPr>
            <w:tcW w:type="dxa" w:w="586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Critère d’acceptation</w:t>
            </w:r>
          </w:p>
        </w:tc>
        <w:tc>
          <w:tcPr>
            <w:tcW w:type="dxa" w:w="11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Statut</w:t>
            </w:r>
          </w:p>
        </w:tc>
      </w:tr>
      <w:tr>
        <w:tc>
          <w:tcPr>
            <w:tcW w:type="dxa" w:w="24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Versions homogènes</w:t>
            </w:r>
          </w:p>
        </w:tc>
        <w:tc>
          <w:tcPr>
            <w:tcW w:type="dxa" w:w="58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La commande de version renvoie une valeur identique sur les trois nœuds</w:t>
            </w:r>
          </w:p>
        </w:tc>
        <w:tc>
          <w:tcPr>
            <w:tcW w:type="dxa" w:w="11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24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Résolution des noms</w:t>
            </w:r>
          </w:p>
        </w:tc>
        <w:tc>
          <w:tcPr>
            <w:tcW w:type="dxa" w:w="58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Les trois noms pleinement qualifiés sont résolus depuis chaque nœud</w:t>
            </w:r>
          </w:p>
        </w:tc>
        <w:tc>
          <w:tcPr>
            <w:tcW w:type="dxa" w:w="11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24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Adressage</w:t>
            </w:r>
          </w:p>
        </w:tc>
        <w:tc>
          <w:tcPr>
            <w:tcW w:type="dxa" w:w="58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Aucune adresse résiduelle hors du segment d’administration et du segment de cohérence</w:t>
            </w:r>
          </w:p>
        </w:tc>
        <w:tc>
          <w:tcPr>
            <w:tcW w:type="dxa" w:w="11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24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Route par défaut</w:t>
            </w:r>
          </w:p>
        </w:tc>
        <w:tc>
          <w:tcPr>
            <w:tcW w:type="dxa" w:w="58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Une seule route par défaut, portée par l’interface d’administration étiquetée</w:t>
            </w:r>
          </w:p>
        </w:tc>
        <w:tc>
          <w:tcPr>
            <w:tcW w:type="dxa" w:w="11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24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Lien agrégé</w:t>
            </w:r>
          </w:p>
        </w:tc>
        <w:tc>
          <w:tcPr>
            <w:tcW w:type="dxa" w:w="58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Les segments attendus apparaissent en étiqueté statique sur les trois ports</w:t>
            </w:r>
          </w:p>
        </w:tc>
        <w:tc>
          <w:tcPr>
            <w:tcW w:type="dxa" w:w="11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24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Joignabilité</w:t>
            </w:r>
          </w:p>
        </w:tc>
        <w:tc>
          <w:tcPr>
            <w:tcW w:type="dxa" w:w="58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Chaque nœud répond depuis le poste d’administration sur son adresse d’administration</w:t>
            </w:r>
          </w:p>
        </w:tc>
        <w:tc>
          <w:tcPr>
            <w:tcW w:type="dxa" w:w="11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24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Segment de cohérence</w:t>
            </w:r>
          </w:p>
        </w:tc>
        <w:tc>
          <w:tcPr>
            <w:tcW w:type="dxa" w:w="58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Chaque nœud répond aux deux autres sur le segment d’isolation</w:t>
            </w:r>
          </w:p>
        </w:tc>
        <w:tc>
          <w:tcPr>
            <w:tcW w:type="dxa" w:w="11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24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Quorum</w:t>
            </w:r>
          </w:p>
        </w:tc>
        <w:tc>
          <w:tcPr>
            <w:tcW w:type="dxa" w:w="58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Trois nœuds, trois voix, quorum atteint</w:t>
            </w:r>
          </w:p>
        </w:tc>
        <w:tc>
          <w:tcPr>
            <w:tcW w:type="dxa" w:w="11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24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Lien de cohérence prioritaire</w:t>
            </w:r>
          </w:p>
        </w:tc>
        <w:tc>
          <w:tcPr>
            <w:tcW w:type="dxa" w:w="58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Le lien 0 est connecté vers les trois identifiants de nœud</w:t>
            </w:r>
          </w:p>
        </w:tc>
        <w:tc>
          <w:tcPr>
            <w:tcW w:type="dxa" w:w="11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24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Lien de cohérence secondaire</w:t>
            </w:r>
          </w:p>
        </w:tc>
        <w:tc>
          <w:tcPr>
            <w:tcW w:type="dxa" w:w="58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Le lien 1 est connecté vers les trois identifiants de nœud</w:t>
            </w:r>
          </w:p>
        </w:tc>
        <w:tc>
          <w:tcPr>
            <w:tcW w:type="dxa" w:w="11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24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Dépôts</w:t>
            </w:r>
          </w:p>
        </w:tc>
        <w:tc>
          <w:tcPr>
            <w:tcW w:type="dxa" w:w="58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La mise à jour des index se termine sans erreur d’autorisation ni doublon</w:t>
            </w:r>
          </w:p>
        </w:tc>
        <w:tc>
          <w:tcPr>
            <w:tcW w:type="dxa" w:w="11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24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Stockages</w:t>
            </w:r>
          </w:p>
        </w:tc>
        <w:tc>
          <w:tcPr>
            <w:tcW w:type="dxa" w:w="58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Chaque stockage déclaré apparaît actif et restreint à son nœud propriétaire</w:t>
            </w:r>
          </w:p>
        </w:tc>
        <w:tc>
          <w:tcPr>
            <w:tcW w:type="dxa" w:w="11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24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Contrôle d’accès</w:t>
            </w:r>
          </w:p>
        </w:tc>
        <w:tc>
          <w:tcPr>
            <w:tcW w:type="dxa" w:w="58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Le groupe existe, la règle est posée sur le chemin racine, la connexion aboutit</w:t>
            </w:r>
          </w:p>
        </w:tc>
        <w:tc>
          <w:tcPr>
            <w:tcW w:type="dxa" w:w="11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r>
        <w:tc>
          <w:tcPr>
            <w:tcW w:type="dxa" w:w="24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val="false"/>
                <w:color w:val="1A1A1A"/>
                <w:sz w:val="18"/>
                <w:szCs w:val="18"/>
              </w:rPr>
              <w:t xml:space="preserve">Stabilité des sessions</w:t>
            </w:r>
          </w:p>
        </w:tc>
        <w:tc>
          <w:tcPr>
            <w:tcW w:type="dxa" w:w="586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Aucune fermeture inopinée de session d’administration sur une heure d’usage</w:t>
            </w:r>
          </w:p>
        </w:tc>
        <w:tc>
          <w:tcPr>
            <w:tcW w:type="dxa" w:w="1100"/>
            <w:shd w:fill="EDF1F5"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spacing w:after="140" w:line="300"/>
        <w:jc w:val="both"/>
      </w:pPr>
      <w:r>
        <w:rPr>
          <w:rFonts w:ascii="IBM Plex Sans" w:cs="IBM Plex Sans" w:eastAsia="IBM Plex Sans" w:hAnsi="IBM Plex Sans"/>
          <w:b w:val="false"/>
          <w:bCs w:val="false"/>
          <w:i w:val="false"/>
          <w:iCs w:val="false"/>
          <w:caps w:val="false"/>
          <w:color w:val="1A1A1A"/>
          <w:sz w:val="20"/>
          <w:szCs w:val="20"/>
        </w:rPr>
        <w:t xml:space="preserve">Commandes de recette, à exécuter sur chacun des trois nœuds :</w:t>
      </w:r>
    </w:p>
    <w:tbl>
      <w:tblPr>
        <w:tblW w:type="dxa" w:w="9360"/>
        <w:tblBorders>
          <w:top w:val="single" w:color="C9D2DB" w:sz="4"/>
          <w:left w:val="single" w:color="11657E" w:sz="18"/>
          <w:bottom w:val="single" w:color="C9D2DB" w:sz="4"/>
          <w:right w:val="single" w:color="C9D2DB" w:sz="4"/>
          <w:insideH w:val="none" w:color="FFFFFF" w:sz="0"/>
          <w:insideV w:val="none" w:color="FFFFFF" w:sz="0"/>
        </w:tblBorders>
      </w:tblPr>
      <w:tblGrid>
        <w:gridCol w:w="9360"/>
      </w:tblGrid>
      <w:tr>
        <w:tc>
          <w:tcPr>
            <w:tcW w:type="dxa" w:w="9360"/>
            <w:shd w:fill="F2F5F8" w:color="auto" w:val="clear"/>
            <w:tcMar>
              <w:top w:type="dxa" w:w="120"/>
              <w:left w:type="dxa" w:w="160"/>
              <w:bottom w:type="dxa" w:w="120"/>
              <w:right w:type="dxa" w:w="160"/>
            </w:tcMar>
          </w:tcPr>
          <w:p>
            <w:pPr>
              <w:spacing w:after="0" w:before="60" w:line="260"/>
            </w:pPr>
            <w:r>
              <w:rPr>
                <w:rFonts w:ascii="IBM Plex Mono" w:cs="IBM Plex Mono" w:eastAsia="IBM Plex Mono" w:hAnsi="IBM Plex Mono"/>
                <w:b w:val="false"/>
                <w:bCs w:val="false"/>
                <w:i w:val="false"/>
                <w:iCs w:val="false"/>
                <w:caps w:val="false"/>
                <w:color w:val="15212E"/>
                <w:sz w:val="17"/>
                <w:szCs w:val="17"/>
              </w:rPr>
              <w:t xml:space="preserve">pveversion</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getent hosts HOTE_1.DOM_ADM HOTE_2.DOM_ADM HOTE_3.DOM_ADM</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ip -br addr show</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ip route</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pvecm status</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corosync-cfgtool -s</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apt update</w:t>
            </w:r>
          </w:p>
          <w:p>
            <w:pPr>
              <w:spacing w:after="0" w:before="0" w:line="260"/>
            </w:pPr>
            <w:r>
              <w:rPr>
                <w:rFonts w:ascii="IBM Plex Mono" w:cs="IBM Plex Mono" w:eastAsia="IBM Plex Mono" w:hAnsi="IBM Plex Mono"/>
                <w:b w:val="false"/>
                <w:bCs w:val="false"/>
                <w:i w:val="false"/>
                <w:iCs w:val="false"/>
                <w:caps w:val="false"/>
                <w:color w:val="15212E"/>
                <w:sz w:val="17"/>
                <w:szCs w:val="17"/>
              </w:rPr>
              <w:t xml:space="preserve">pvesm status</w:t>
            </w:r>
          </w:p>
          <w:p>
            <w:pPr>
              <w:spacing w:after="60" w:before="0" w:line="260"/>
            </w:pPr>
            <w:r>
              <w:rPr>
                <w:rFonts w:ascii="IBM Plex Mono" w:cs="IBM Plex Mono" w:eastAsia="IBM Plex Mono" w:hAnsi="IBM Plex Mono"/>
                <w:b w:val="false"/>
                <w:bCs w:val="false"/>
                <w:i w:val="false"/>
                <w:iCs w:val="false"/>
                <w:caps w:val="false"/>
                <w:color w:val="15212E"/>
                <w:sz w:val="17"/>
                <w:szCs w:val="17"/>
              </w:rPr>
              <w:t xml:space="preserve">pveum acl list</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p>
      <w:pPr>
        <w:pStyle w:val="Heading1"/>
        <w:pBdr>
          <w:bottom w:val="single" w:color="C9D2DB" w:sz="6"/>
        </w:pBdr>
        <w:spacing w:after="180" w:before="420"/>
      </w:pPr>
      <w:r>
        <w:rPr>
          <w:rFonts w:ascii="IBM Plex Sans" w:cs="IBM Plex Sans" w:eastAsia="IBM Plex Sans" w:hAnsi="IBM Plex Sans"/>
          <w:b/>
          <w:bCs/>
          <w:i w:val="false"/>
          <w:iCs w:val="false"/>
          <w:caps w:val="false"/>
          <w:color w:val="B57508"/>
          <w:sz w:val="26"/>
          <w:szCs w:val="26"/>
        </w:rPr>
        <w:t xml:space="preserve">8   </w:t>
      </w:r>
      <w:r>
        <w:rPr>
          <w:rFonts w:ascii="IBM Plex Sans" w:cs="IBM Plex Sans" w:eastAsia="IBM Plex Sans" w:hAnsi="IBM Plex Sans"/>
          <w:b/>
          <w:bCs/>
          <w:i w:val="false"/>
          <w:iCs w:val="false"/>
          <w:caps w:val="false"/>
          <w:color w:val="0F1B2A"/>
          <w:sz w:val="26"/>
          <w:szCs w:val="26"/>
        </w:rPr>
        <w:t xml:space="preserve">Références et historique des révisions</w:t>
      </w:r>
    </w:p>
    <w:p>
      <w:pPr>
        <w:pStyle w:val="Heading3"/>
        <w:spacing w:after="100" w:before="220"/>
      </w:pPr>
      <w:r>
        <w:rPr>
          <w:rFonts w:ascii="IBM Plex Sans" w:cs="IBM Plex Sans" w:eastAsia="IBM Plex Sans" w:hAnsi="IBM Plex Sans"/>
          <w:b/>
          <w:bCs/>
          <w:i w:val="false"/>
          <w:iCs w:val="false"/>
          <w:caps w:val="false"/>
          <w:color w:val="1E3450"/>
          <w:sz w:val="20"/>
          <w:szCs w:val="20"/>
        </w:rPr>
        <w:t xml:space="preserve">Documentation éditeur</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Proxmox VE — Cluster Manager. Constitution de la grappe, liens multiples et priorités, adhésion et retrait de nœuds. https://pve.proxmox.com/wiki/Cluster_Manager</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Proxmox VE — Network Configuration. Ponts conscients des segments, interfaces étiquetées, épinglage des noms d’interface. https://pve.proxmox.com/wiki/Network_Configuration</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Proxmox VE — Package Repositories. Format de déclaration des sources et dépôts disponibles. https://pve.proxmox.com/wiki/Package_Repositories</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Cisco — Guide de référence des commandes de segmentation pour commutateurs administrables de petite capacité. Syntaxe d’ajout à la liste des segments autorisés d’un lien agrégé.</w:t>
      </w:r>
    </w:p>
    <w:p>
      <w:pPr>
        <w:pStyle w:val="Heading3"/>
        <w:spacing w:after="100" w:before="220"/>
      </w:pPr>
      <w:r>
        <w:rPr>
          <w:rFonts w:ascii="IBM Plex Sans" w:cs="IBM Plex Sans" w:eastAsia="IBM Plex Sans" w:hAnsi="IBM Plex Sans"/>
          <w:b/>
          <w:bCs/>
          <w:i w:val="false"/>
          <w:iCs w:val="false"/>
          <w:caps w:val="false"/>
          <w:color w:val="1E3450"/>
          <w:sz w:val="20"/>
          <w:szCs w:val="20"/>
        </w:rPr>
        <w:t xml:space="preserve">Documents associés</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HL-PRC-001 — Configuration d’un pare-feu de périmètre. Décrit le routage inter-segments et les passerelles référencées par la présente procédure.</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HL-PRC-002 — Configuration d’un commutateur d’accès. Décrit la création des segments et le lien agrégé homologue, prérequis de l’étape 4.4.</w:t>
      </w:r>
    </w:p>
    <w:p>
      <w:pPr>
        <w:pStyle w:val="Heading3"/>
        <w:spacing w:after="100" w:before="220"/>
      </w:pPr>
      <w:r>
        <w:rPr>
          <w:rFonts w:ascii="IBM Plex Sans" w:cs="IBM Plex Sans" w:eastAsia="IBM Plex Sans" w:hAnsi="IBM Plex Sans"/>
          <w:b/>
          <w:bCs/>
          <w:i w:val="false"/>
          <w:iCs w:val="false"/>
          <w:caps w:val="false"/>
          <w:color w:val="1E3450"/>
          <w:sz w:val="20"/>
          <w:szCs w:val="20"/>
        </w:rPr>
        <w:t xml:space="preserve">Limites connues</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La procédure suppose une interface physique unique par nœud. Une topologie à interfaces multiples permet une redondance matérielle des liens de cohérence, non traitée ici.</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Aucune synchronisation horaire n’est mise en place. La dérive d’horloge entre nœuds produit à terme des symptômes difficiles à diagnostiquer sur les certificats et la corrélation des journaux.</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La sauvegarde des instances et la reprise après sinistre sortent du périmètre.</w:t>
      </w:r>
    </w:p>
    <w:p>
      <w:pPr>
        <w:pStyle w:val="ListParagraph"/>
        <w:numPr>
          <w:ilvl w:val="0"/>
          <w:numId w:val="2"/>
        </w:numPr>
        <w:spacing w:after="70" w:line="280"/>
      </w:pPr>
      <w:r>
        <w:rPr>
          <w:rFonts w:ascii="IBM Plex Sans" w:cs="IBM Plex Sans" w:eastAsia="IBM Plex Sans" w:hAnsi="IBM Plex Sans"/>
          <w:b w:val="false"/>
          <w:bCs w:val="false"/>
          <w:i w:val="false"/>
          <w:iCs w:val="false"/>
          <w:caps w:val="false"/>
          <w:color w:val="1A1A1A"/>
          <w:sz w:val="20"/>
          <w:szCs w:val="20"/>
        </w:rPr>
        <w:t xml:space="preserve">La procédure a été établie sur une grappe de trois nœuds. À deux nœuds, le quorum exige un arbitre externe, non traité ici.</w:t>
      </w:r>
    </w:p>
    <w:p>
      <w:pPr>
        <w:pStyle w:val="Heading3"/>
        <w:spacing w:after="100" w:before="220"/>
      </w:pPr>
      <w:r>
        <w:rPr>
          <w:rFonts w:ascii="IBM Plex Sans" w:cs="IBM Plex Sans" w:eastAsia="IBM Plex Sans" w:hAnsi="IBM Plex Sans"/>
          <w:b/>
          <w:bCs/>
          <w:i w:val="false"/>
          <w:iCs w:val="false"/>
          <w:caps w:val="false"/>
          <w:color w:val="1E3450"/>
          <w:sz w:val="20"/>
          <w:szCs w:val="20"/>
        </w:rPr>
        <w:t xml:space="preserve">Historique des révisions</w:t>
      </w:r>
    </w:p>
    <w:tbl>
      <w:tblPr>
        <w:tblW w:type="dxa" w:w="9360"/>
        <w:tblBorders>
          <w:top w:val="single" w:color="0F1B2A" w:sz="4"/>
          <w:left w:val="none" w:color="FFFFFF" w:sz="0"/>
          <w:bottom w:val="single" w:color="0F1B2A" w:sz="4"/>
          <w:right w:val="none" w:color="FFFFFF" w:sz="0"/>
          <w:insideH w:val="single" w:color="C9D2DB" w:sz="4"/>
          <w:insideV w:val="none" w:color="FFFFFF" w:sz="0"/>
        </w:tblBorders>
      </w:tblPr>
      <w:tblGrid>
        <w:gridCol w:w="1400"/>
        <w:gridCol w:w="1800"/>
        <w:gridCol w:w="3200"/>
        <w:gridCol w:w="2960"/>
      </w:tblGrid>
      <w:tr>
        <w:trPr>
          <w:tblHeader/>
        </w:trPr>
        <w:tc>
          <w:tcPr>
            <w:tcW w:type="dxa" w:w="14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Version</w:t>
            </w:r>
          </w:p>
        </w:tc>
        <w:tc>
          <w:tcPr>
            <w:tcW w:type="dxa" w:w="18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Date</w:t>
            </w:r>
          </w:p>
        </w:tc>
        <w:tc>
          <w:tcPr>
            <w:tcW w:type="dxa" w:w="320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Auteur</w:t>
            </w:r>
          </w:p>
        </w:tc>
        <w:tc>
          <w:tcPr>
            <w:tcW w:type="dxa" w:w="2960"/>
            <w:shd w:fill="0F1B2A"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bCs/>
                <w:i w:val="false"/>
                <w:iCs w:val="false"/>
                <w:caps/>
                <w:color w:val="FFFFFF"/>
                <w:spacing w:val="40"/>
                <w:sz w:val="17"/>
                <w:szCs w:val="17"/>
              </w:rPr>
              <w:t xml:space="preserve">Modifications</w:t>
            </w:r>
          </w:p>
        </w:tc>
      </w:tr>
      <w:tr>
        <w:tc>
          <w:tcPr>
            <w:tcW w:type="dxa" w:w="140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0.1</w:t>
            </w:r>
          </w:p>
        </w:tc>
        <w:tc>
          <w:tcPr>
            <w:tcW w:type="dxa" w:w="1800"/>
            <w:shd w:fill="FFFFFF" w:color="auto" w:val="clear"/>
            <w:tcMar>
              <w:top w:type="dxa" w:w="90"/>
              <w:left w:type="dxa" w:w="130"/>
              <w:bottom w:type="dxa" w:w="90"/>
              <w:right w:type="dxa" w:w="130"/>
            </w:tcMar>
            <w:vAlign w:val="center"/>
          </w:tcPr>
          <w:p>
            <w:pPr>
              <w:spacing w:after="0" w:line="260"/>
            </w:pPr>
            <w:r>
              <w:rPr>
                <w:rFonts w:ascii="IBM Plex Mono" w:cs="IBM Plex Mono" w:eastAsia="IBM Plex Mono" w:hAnsi="IBM Plex Mono"/>
                <w:b w:val="false"/>
                <w:bCs w:val="false"/>
                <w:i w:val="false"/>
                <w:iCs w:val="false"/>
                <w:caps w:val="false"/>
                <w:color w:val="1A1A1A"/>
                <w:sz w:val="18"/>
                <w:szCs w:val="18"/>
              </w:rPr>
              <w:t xml:space="preserve">23/08/2026</w:t>
            </w:r>
          </w:p>
        </w:tc>
        <w:tc>
          <w:tcPr>
            <w:tcW w:type="dxa" w:w="320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Administrateur système et réseaux</w:t>
            </w:r>
          </w:p>
        </w:tc>
        <w:tc>
          <w:tcPr>
            <w:tcW w:type="dxa" w:w="2960"/>
            <w:shd w:fill="FFFFFF" w:color="auto" w:val="clear"/>
            <w:tcMar>
              <w:top w:type="dxa" w:w="90"/>
              <w:left w:type="dxa" w:w="130"/>
              <w:bottom w:type="dxa" w:w="90"/>
              <w:right w:type="dxa" w:w="130"/>
            </w:tcMar>
            <w:vAlign w:val="center"/>
          </w:tcPr>
          <w:p>
            <w:pPr>
              <w:spacing w:after="0" w:line="260"/>
            </w:pPr>
            <w:r>
              <w:rPr>
                <w:rFonts w:ascii="IBM Plex Sans" w:cs="IBM Plex Sans" w:eastAsia="IBM Plex Sans" w:hAnsi="IBM Plex Sans"/>
                <w:b w:val="false"/>
                <w:bCs w:val="false"/>
                <w:i w:val="false"/>
                <w:iCs w:val="false"/>
                <w:caps w:val="false"/>
                <w:color w:val="1A1A1A"/>
                <w:sz w:val="18"/>
                <w:szCs w:val="18"/>
              </w:rPr>
              <w:t xml:space="preserve">Création du document à partir d’une mise en service réelle.</w:t>
            </w:r>
          </w:p>
        </w:tc>
      </w:tr>
    </w:tbl>
    <w:p>
      <w:pPr>
        <w:spacing w:after="120"/>
      </w:pPr>
      <w:r>
        <w:rPr>
          <w:rFonts w:ascii="IBM Plex Sans" w:cs="IBM Plex Sans" w:eastAsia="IBM Plex Sans" w:hAnsi="IBM Plex Sans"/>
          <w:b w:val="false"/>
          <w:bCs w:val="false"/>
          <w:i w:val="false"/>
          <w:iCs w:val="false"/>
          <w:caps w:val="false"/>
          <w:color w:val="1A1A1A"/>
          <w:sz w:val="2"/>
          <w:szCs w:val="2"/>
        </w:rPr>
        <w:t xml:space="preserve"> </w:t>
      </w:r>
    </w:p>
    <w:sectPr>
      <w:headerReference w:type="default" r:id="rId7"/>
      <w:footerReference w:type="default" r:id="rId8"/>
      <w:pgSz w:w="11906" w:h="16838" w:orient="portrait"/>
      <w:pgMar w:top="1180" w:right="1180" w:bottom="112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2DB" w:sz="4"/>
      </w:pBdr>
      <w:tabs>
        <w:tab w:val="right" w:pos="9026"/>
      </w:tabs>
      <w:spacing w:before="0"/>
    </w:pPr>
    <w:r>
      <w:rPr>
        <w:rFonts w:ascii="IBM Plex Sans" w:cs="IBM Plex Sans" w:eastAsia="IBM Plex Sans" w:hAnsi="IBM Plex Sans"/>
        <w:b w:val="false"/>
        <w:bCs w:val="false"/>
        <w:i w:val="false"/>
        <w:iCs w:val="false"/>
        <w:caps w:val="false"/>
        <w:color w:val="5A6673"/>
        <w:sz w:val="15"/>
        <w:szCs w:val="15"/>
      </w:rPr>
      <w:t xml:space="preserve">HL-PRC-003 · v0.1    Interne — diffusion restreinte</w:t>
    </w:r>
    <w:r>
      <w:rPr>
        <w:rFonts w:ascii="IBM Plex Sans" w:cs="IBM Plex Sans" w:eastAsia="IBM Plex Sans" w:hAnsi="IBM Plex Sans"/>
        <w:b w:val="false"/>
        <w:bCs w:val="false"/>
        <w:i w:val="false"/>
        <w:iCs w:val="false"/>
        <w:caps w:val="false"/>
        <w:color w:val="1A1A1A"/>
        <w:sz w:val="15"/>
        <w:szCs w:val="15"/>
      </w:rPr>
      <w:t xml:space="preserve">	</w:t>
    </w:r>
    <w:r>
      <w:rPr>
        <w:rFonts w:ascii="IBM Plex Sans" w:cs="IBM Plex Sans" w:eastAsia="IBM Plex Sans" w:hAnsi="IBM Plex Sans"/>
        <w:color w:val="5A6673"/>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2DB" w:sz="4"/>
      </w:pBdr>
      <w:spacing w:after="0"/>
    </w:pPr>
    <w:r>
      <w:rPr>
        <w:rFonts w:ascii="IBM Plex Sans" w:cs="IBM Plex Sans" w:eastAsia="IBM Plex Sans" w:hAnsi="IBM Plex Sans"/>
        <w:b w:val="false"/>
        <w:bCs w:val="false"/>
        <w:i w:val="false"/>
        <w:iCs w:val="false"/>
        <w:caps/>
        <w:color w:val="5A6673"/>
        <w:spacing w:val="60"/>
        <w:sz w:val="15"/>
        <w:szCs w:val="15"/>
      </w:rPr>
      <w:t xml:space="preserve">HOMELAB  ·  Procédure    HL-PRC-003 · v0.1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rPr>
        <w:rFonts w:ascii="IBM Plex Sans" w:cs="IBM Plex Sans" w:eastAsia="IBM Plex Sans" w:hAnsi="IBM Plex Sans"/>
        <w:color w:val="B5750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w:cs="IBM Plex Sans" w:eastAsia="IBM Plex Sans" w:hAnsi="IBM Plex Sans"/>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en service d’une grappe de virtualisation à trois nœuds</dc:title>
  <dc:creator>Administrateur système et réseaux</dc:creator>
  <dc:description>Installation des hyperviseurs, raccordement au réseau segmenté par étiquetage 802.1Q, constitution de la grappe sur lien d’isolation dédié et paramétrage préalable à tout déploiement d’instance.</dc:description>
  <cp:lastModifiedBy>Un-named</cp:lastModifiedBy>
  <cp:revision>1</cp:revision>
  <dcterms:created xsi:type="dcterms:W3CDTF">2026-08-23T16:24:40.301Z</dcterms:created>
  <dcterms:modified xsi:type="dcterms:W3CDTF">2026-08-23T16:24:40.301Z</dcterms:modified>
</cp:coreProperties>
</file>

<file path=docProps/custom.xml><?xml version="1.0" encoding="utf-8"?>
<Properties xmlns="http://schemas.openxmlformats.org/officeDocument/2006/custom-properties" xmlns:vt="http://schemas.openxmlformats.org/officeDocument/2006/docPropsVTypes"/>
</file>