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070" w:type="dxa"/>
        <w:tblBorders>
          <w:top w:val="none"/>
          <w:left w:val="none"/>
          <w:bottom w:val="none"/>
          <w:right w:val="none"/>
          <w:insideH w:val="none"/>
          <w:insideV w:val="none"/>
        </w:tblBorders>
        <w:tblLook w:val="0000"/>
      </w:tblPr>
      <w:tblGrid>
        <w:gridCol w:w="9070"/>
      </w:tblGrid>
      <w:tr>
        <w:tc>
          <w:tcPr>
            <w:tcW w:w="9070" w:type="dxa"/>
            <w:shd w:val="clear" w:color="auto" w:fill="2E75B6"/>
            <w:tcMar>
              <w:top w:w="240" w:type="dxa"/>
              <w:left w:w="240" w:type="dxa"/>
              <w:bottom w:w="240" w:type="dxa"/>
              <w:right w:w="240" w:type="dxa"/>
            </w:tcMar>
            <w:vAlign w:val="center"/>
          </w:tcPr>
          <w:p>
            <w:pPr>
              <w:spacing w:after="0"/>
            </w:pPr>
            <w:r>
              <w:drawing>
                <wp:inline distT="0" distB="0" distL="0" distR="0">
                  <wp:extent cx="430000" cy="430000"/>
                  <wp:effectExtent l="0" t="0" r="0" b="0"/>
                  <wp:docPr id="101" name="logo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logo101"/>
                          <pic:cNvPicPr/>
                        </pic:nvPicPr>
                        <pic:blipFill>
                          <a:blip r:embed="rId7"/>
                          <a:stretch>
                            <a:fillRect/>
                          </a:stretch>
                        </pic:blipFill>
                        <pic:spPr>
                          <a:xfrm>
                            <a:off x="0" y="0"/>
                            <a:ext cx="430000" cy="430000"/>
                          </a:xfrm>
                          <a:prstGeom prst="rect">
                            <a:avLst/>
                          </a:prstGeom>
                        </pic:spPr>
                      </pic:pic>
                    </a:graphicData>
                  </a:graphic>
                </wp:inline>
              </w:drawing>
            </w:r>
            <w:r>
              <w:rPr>
                <w:sz w:val="36"/>
                <w:szCs w:val="36"/>
              </w:rPr>
              <w:t xml:space="preserve">   </w:t>
            </w:r>
            <w:r>
              <w:rPr>
                <w:b/>
                <w:caps/>
                <w:sz w:val="38"/>
                <w:szCs w:val="38"/>
                <w:color w:val="FFFFFF"/>
                <w:spacing w:val="50"/>
              </w:rPr>
              <w:t xml:space="preserve">HOMELAB</w:t>
            </w:r>
          </w:p>
          <w:p>
            <w:pPr>
              <w:spacing w:before="40" w:after="0"/>
            </w:pPr>
            <w:r>
              <w:rPr>
                <w:sz w:val="18"/>
                <w:szCs w:val="18"/>
                <w:color w:val="FFFFFF"/>
              </w:rPr>
              <w:t xml:space="preserve">Infrastructure auto-hébergée</w:t>
            </w:r>
          </w:p>
        </w:tc>
      </w:tr>
    </w:tbl>
    <w:p>
      <w:pPr>
        <w:spacing w:after="0"/>
      </w:pPr>
    </w:p>
    <w:p>
      <w:pPr>
        <w:spacing w:before="360" w:after="60"/>
      </w:pPr>
      <w:r>
        <w:rPr>
          <w:b/>
          <w:caps/>
          <w:color w:val="2E75B6"/>
          <w:spacing w:val="50"/>
          <w:sz w:val="20"/>
          <w:szCs w:val="20"/>
        </w:rPr>
        <w:t xml:space="preserve">PROCÉDURE TECHNIQUE</w:t>
      </w:r>
    </w:p>
    <w:p>
      <w:pPr>
        <w:spacing w:before="0" w:after="120" w:line="264" w:lineRule="auto"/>
      </w:pPr>
      <w:r>
        <w:rPr>
          <w:b/>
          <w:color w:val="1F2A37"/>
          <w:sz w:val="54"/>
          <w:szCs w:val="54"/>
        </w:rPr>
        <w:t xml:space="preserve">Mise en service d’un pare-feu Juniper SRX300</w:t>
      </w:r>
    </w:p>
    <w:p>
      <w:pPr>
        <w:spacing w:before="0" w:after="120" w:line="288" w:lineRule="auto"/>
      </w:pPr>
      <w:r>
        <w:rPr>
          <w:color w:val="41505F"/>
          <w:sz w:val="24"/>
          <w:szCs w:val="24"/>
        </w:rPr>
        <w:t xml:space="preserve">Configuration d’un SRX300 en routeur inter-VLAN, passerelle Internet, serveur DHCP et relais DNS pour une infrastructure segmentée en huit VLAN.</w:t>
      </w:r>
    </w:p>
    <w:p>
      <w:pPr>
        <w:spacing w:after="0"/>
      </w:pP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000"/>
      </w:tblPr>
      <w:tblGrid>
        <w:gridCol w:w="3023"/>
        <w:gridCol w:w="3023"/>
        <w:gridCol w:w="3024"/>
      </w:tblGrid>
      <w:tr>
        <w:tc>
          <w:tcPr>
            <w:tcW w:w="3023" w:type="dxa"/>
            <w:tcMar>
              <w:top w:w="70" w:type="dxa"/>
              <w:left w:w="110" w:type="dxa"/>
              <w:bottom w:w="70" w:type="dxa"/>
              <w:right w:w="110" w:type="dxa"/>
            </w:tcMar>
            <w:vAlign w:val="center"/>
          </w:tcPr>
          <w:p>
            <w:pPr>
              <w:spacing w:after="40"/>
            </w:pPr>
            <w:r>
              <w:rPr>
                <w:b/>
                <w:caps/>
                <w:color w:val="6B7884"/>
                <w:sz w:val="14"/>
                <w:szCs w:val="14"/>
              </w:rPr>
              <w:t xml:space="preserve">Référence</w:t>
            </w:r>
          </w:p>
          <w:p>
            <w:pPr>
              <w:spacing w:after="0"/>
            </w:pPr>
            <w:r>
              <w:rPr>
                <w:rFonts w:ascii="Consolas" w:hAnsi="Consolas" w:cs="Consolas"/>
                <w:b/>
                <w:color w:val="1F2A37"/>
                <w:sz w:val="22"/>
                <w:szCs w:val="22"/>
              </w:rPr>
              <w:t xml:space="preserve">HL-PRC-001</w:t>
            </w:r>
          </w:p>
        </w:tc>
        <w:tc>
          <w:tcPr>
            <w:tcW w:w="3023" w:type="dxa"/>
            <w:tcMar>
              <w:top w:w="70" w:type="dxa"/>
              <w:left w:w="110" w:type="dxa"/>
              <w:bottom w:w="70" w:type="dxa"/>
              <w:right w:w="110" w:type="dxa"/>
            </w:tcMar>
            <w:vAlign w:val="center"/>
          </w:tcPr>
          <w:p>
            <w:pPr>
              <w:spacing w:after="40"/>
            </w:pPr>
            <w:r>
              <w:rPr>
                <w:b/>
                <w:caps/>
                <w:color w:val="6B7884"/>
                <w:sz w:val="14"/>
                <w:szCs w:val="14"/>
              </w:rPr>
              <w:t xml:space="preserve">Version</w:t>
            </w:r>
          </w:p>
          <w:p>
            <w:pPr>
              <w:spacing w:after="0"/>
            </w:pPr>
            <w:r>
              <w:rPr>
                <w:rFonts w:ascii="Consolas" w:hAnsi="Consolas" w:cs="Consolas"/>
                <w:b/>
                <w:color w:val="1F2A37"/>
                <w:sz w:val="22"/>
                <w:szCs w:val="22"/>
              </w:rPr>
              <w:t xml:space="preserve">0.1</w:t>
            </w:r>
          </w:p>
        </w:tc>
        <w:tc>
          <w:tcPr>
            <w:tcW w:w="3024" w:type="dxa"/>
            <w:tcMar>
              <w:top w:w="70" w:type="dxa"/>
              <w:left w:w="110" w:type="dxa"/>
              <w:bottom w:w="70" w:type="dxa"/>
              <w:right w:w="110" w:type="dxa"/>
            </w:tcMar>
            <w:vAlign w:val="center"/>
          </w:tcPr>
          <w:p>
            <w:pPr>
              <w:spacing w:after="40"/>
            </w:pPr>
            <w:r>
              <w:rPr>
                <w:b/>
                <w:caps/>
                <w:color w:val="6B7884"/>
                <w:sz w:val="14"/>
                <w:szCs w:val="14"/>
              </w:rPr>
              <w:t xml:space="preserve">Date d'édition</w:t>
            </w:r>
          </w:p>
          <w:p>
            <w:pPr>
              <w:spacing w:after="0"/>
            </w:pPr>
            <w:r>
              <w:rPr>
                <w:rFonts w:ascii="Consolas" w:hAnsi="Consolas" w:cs="Consolas"/>
                <w:b/>
                <w:color w:val="1F2A37"/>
                <w:sz w:val="22"/>
                <w:szCs w:val="22"/>
              </w:rPr>
              <w:t xml:space="preserve">23/08/2026</w:t>
            </w:r>
          </w:p>
        </w:tc>
      </w:tr>
      <w:tr>
        <w:tc>
          <w:tcPr>
            <w:tcW w:w="3023" w:type="dxa"/>
            <w:tcMar>
              <w:top w:w="70" w:type="dxa"/>
              <w:left w:w="110" w:type="dxa"/>
              <w:bottom w:w="70" w:type="dxa"/>
              <w:right w:w="110" w:type="dxa"/>
            </w:tcMar>
            <w:vAlign w:val="center"/>
          </w:tcPr>
          <w:p>
            <w:pPr>
              <w:spacing w:after="40"/>
            </w:pPr>
            <w:r>
              <w:rPr>
                <w:b/>
                <w:caps/>
                <w:color w:val="6B7884"/>
                <w:sz w:val="14"/>
                <w:szCs w:val="14"/>
              </w:rPr>
              <w:t xml:space="preserve">Auteur</w:t>
            </w:r>
          </w:p>
          <w:p>
            <w:pPr>
              <w:spacing w:after="0"/>
            </w:pPr>
            <w:r>
              <w:rPr>
                <w:rFonts w:ascii="Consolas" w:hAnsi="Consolas" w:cs="Consolas"/>
                <w:b/>
                <w:color w:val="1F2A37"/>
                <w:sz w:val="22"/>
                <w:szCs w:val="22"/>
              </w:rPr>
              <w:t xml:space="preserve">Administrateur système et réseaux</w:t>
            </w:r>
          </w:p>
        </w:tc>
        <w:tc>
          <w:tcPr>
            <w:tcW w:w="3023" w:type="dxa"/>
            <w:tcMar>
              <w:top w:w="70" w:type="dxa"/>
              <w:left w:w="110" w:type="dxa"/>
              <w:bottom w:w="70" w:type="dxa"/>
              <w:right w:w="110" w:type="dxa"/>
            </w:tcMar>
            <w:vAlign w:val="center"/>
          </w:tcPr>
          <w:p>
            <w:pPr>
              <w:spacing w:after="40"/>
            </w:pPr>
            <w:r>
              <w:rPr>
                <w:b/>
                <w:caps/>
                <w:color w:val="6B7884"/>
                <w:sz w:val="14"/>
                <w:szCs w:val="14"/>
              </w:rPr>
              <w:t xml:space="preserve">Classification</w:t>
            </w:r>
          </w:p>
          <w:p>
            <w:pPr>
              <w:spacing w:after="0"/>
            </w:pPr>
            <w:r>
              <w:rPr>
                <w:rFonts w:ascii="Consolas" w:hAnsi="Consolas" w:cs="Consolas"/>
                <w:b/>
                <w:color w:val="1F2A37"/>
                <w:sz w:val="22"/>
                <w:szCs w:val="22"/>
              </w:rPr>
              <w:t xml:space="preserve">Interne</w:t>
            </w:r>
          </w:p>
        </w:tc>
        <w:tc>
          <w:tcPr>
            <w:tcW w:w="3024" w:type="dxa"/>
            <w:tcMar>
              <w:top w:w="70" w:type="dxa"/>
              <w:left w:w="110" w:type="dxa"/>
              <w:bottom w:w="70" w:type="dxa"/>
              <w:right w:w="110" w:type="dxa"/>
            </w:tcMar>
            <w:vAlign w:val="center"/>
          </w:tcPr>
          <w:p>
            <w:pPr>
              <w:spacing w:after="40"/>
            </w:pPr>
            <w:r>
              <w:rPr>
                <w:b/>
                <w:caps/>
                <w:color w:val="6B7884"/>
                <w:sz w:val="14"/>
                <w:szCs w:val="14"/>
              </w:rPr>
              <w:t xml:space="preserve">Statut</w:t>
            </w:r>
          </w:p>
          <w:p>
            <w:pPr>
              <w:spacing w:after="0"/>
            </w:pPr>
            <w:r>
              <w:rPr>
                <w:rFonts w:ascii="Consolas" w:hAnsi="Consolas" w:cs="Consolas"/>
                <w:b/>
                <w:color w:val="1F2A37"/>
                <w:sz w:val="22"/>
                <w:szCs w:val="22"/>
              </w:rPr>
              <w:t xml:space="preserve">Brouillon</w:t>
            </w:r>
          </w:p>
        </w:tc>
      </w:tr>
    </w:tbl>
    <w:p>
      <w:pPr>
        <w:pageBreakBefore/>
        <w:spacing w:before="0" w:after="40"/>
      </w:pPr>
      <w:r>
        <w:rPr>
          <w:b/>
          <w:color w:val="1F2A37"/>
          <w:sz w:val="44"/>
          <w:szCs w:val="44"/>
        </w:rPr>
        <w:t xml:space="preserve">Sommaire</w:t>
      </w:r>
    </w:p>
    <w:p>
      <w:pPr>
        <w:spacing w:before="0" w:after="220"/>
      </w:pPr>
      <w:r>
        <w:rPr>
          <w:b/>
          <w:color w:val="1F2A37"/>
          <w:sz w:val="22"/>
          <w:szCs w:val="22"/>
        </w:rPr>
        <w:t xml:space="preserve">Mise en service d’un pare-feu Juniper SRX300</w:t>
      </w:r>
      <w:r>
        <w:rPr>
          <w:color w:val="6B7884"/>
          <w:sz w:val="22"/>
          <w:szCs w:val="22"/>
        </w:rPr>
        <w:t xml:space="preserve"> — HL-PRC-001</w:t>
      </w:r>
    </w:p>
    <w:p>
      <w:pPr>
        <w:pBdr>
          <w:bottom w:val="single" w:sz="4" w:space="6" w:color="EEF1F4"/>
        </w:pBdr>
        <w:tabs>
          <w:tab w:val="right" w:leader="dot" w:pos="9070"/>
        </w:tabs>
        <w:spacing w:before="60" w:after="60"/>
      </w:pPr>
      <w:r>
        <w:rPr>
          <w:b/>
          <w:color w:val="2E75B6"/>
          <w:sz w:val="21"/>
          <w:szCs w:val="21"/>
        </w:rPr>
        <w:t xml:space="preserve">1</w:t>
      </w:r>
      <w:r>
        <w:rPr>
          <w:sz w:val="21"/>
          <w:szCs w:val="21"/>
        </w:rPr>
        <w:t xml:space="preserve">    </w:t>
      </w:r>
      <w:r>
        <w:rPr>
          <w:b/>
          <w:color w:val="1F2A37"/>
          <w:sz w:val="23"/>
          <w:szCs w:val="23"/>
        </w:rPr>
        <w:t xml:space="preserve">Objet</w:t>
      </w:r>
      <w:r>
        <w:tab/>
      </w:r>
      <w:r>
        <w:rPr>
          <w:color w:val="6B7884"/>
          <w:sz w:val="20"/>
          <w:szCs w:val="20"/>
        </w:rPr>
        <w:t xml:space="preserve">3</w:t>
      </w:r>
    </w:p>
    <w:p>
      <w:pPr>
        <w:pBdr>
          <w:bottom w:val="single" w:sz="4" w:space="6" w:color="EEF1F4"/>
        </w:pBdr>
        <w:tabs>
          <w:tab w:val="right" w:leader="dot" w:pos="9070"/>
        </w:tabs>
        <w:spacing w:before="60" w:after="60"/>
      </w:pPr>
      <w:r>
        <w:rPr>
          <w:b/>
          <w:color w:val="2E75B6"/>
          <w:sz w:val="21"/>
          <w:szCs w:val="21"/>
        </w:rPr>
        <w:t xml:space="preserve">2</w:t>
      </w:r>
      <w:r>
        <w:rPr>
          <w:sz w:val="21"/>
          <w:szCs w:val="21"/>
        </w:rPr>
        <w:t xml:space="preserve">    </w:t>
      </w:r>
      <w:r>
        <w:rPr>
          <w:b/>
          <w:color w:val="1F2A37"/>
          <w:sz w:val="23"/>
          <w:szCs w:val="23"/>
        </w:rPr>
        <w:t xml:space="preserve">Périmètre et prérequis</w:t>
      </w:r>
      <w:r>
        <w:tab/>
      </w:r>
      <w:r>
        <w:rPr>
          <w:color w:val="6B7884"/>
          <w:sz w:val="20"/>
          <w:szCs w:val="20"/>
        </w:rPr>
        <w:t xml:space="preserve">4</w:t>
      </w:r>
    </w:p>
    <w:p>
      <w:pPr>
        <w:pBdr>
          <w:bottom w:val="single" w:sz="4" w:space="6" w:color="EEF1F4"/>
        </w:pBdr>
        <w:tabs>
          <w:tab w:val="right" w:leader="dot" w:pos="9070"/>
        </w:tabs>
        <w:spacing w:before="60" w:after="60"/>
      </w:pPr>
      <w:r>
        <w:rPr>
          <w:b/>
          <w:color w:val="2E75B6"/>
          <w:sz w:val="21"/>
          <w:szCs w:val="21"/>
        </w:rPr>
        <w:t xml:space="preserve">3</w:t>
      </w:r>
      <w:r>
        <w:rPr>
          <w:sz w:val="21"/>
          <w:szCs w:val="21"/>
        </w:rPr>
        <w:t xml:space="preserve">    </w:t>
      </w:r>
      <w:r>
        <w:rPr>
          <w:b/>
          <w:color w:val="1F2A37"/>
          <w:sz w:val="23"/>
          <w:szCs w:val="23"/>
        </w:rPr>
        <w:t xml:space="preserve">Rôles et responsabilités</w:t>
      </w:r>
      <w:r>
        <w:tab/>
      </w:r>
      <w:r>
        <w:rPr>
          <w:color w:val="6B7884"/>
          <w:sz w:val="20"/>
          <w:szCs w:val="20"/>
        </w:rPr>
        <w:t xml:space="preserve">5</w:t>
      </w:r>
    </w:p>
    <w:p>
      <w:pPr>
        <w:pBdr>
          <w:bottom w:val="single" w:sz="4" w:space="6" w:color="EEF1F4"/>
        </w:pBdr>
        <w:tabs>
          <w:tab w:val="right" w:leader="dot" w:pos="9070"/>
        </w:tabs>
        <w:spacing w:before="60" w:after="60"/>
      </w:pPr>
      <w:r>
        <w:rPr>
          <w:b/>
          <w:color w:val="2E75B6"/>
          <w:sz w:val="21"/>
          <w:szCs w:val="21"/>
        </w:rPr>
        <w:t xml:space="preserve">4</w:t>
      </w:r>
      <w:r>
        <w:rPr>
          <w:sz w:val="21"/>
          <w:szCs w:val="21"/>
        </w:rPr>
        <w:t xml:space="preserve">    </w:t>
      </w:r>
      <w:r>
        <w:rPr>
          <w:b/>
          <w:color w:val="1F2A37"/>
          <w:sz w:val="23"/>
          <w:szCs w:val="23"/>
        </w:rPr>
        <w:t xml:space="preserve">Procédure de configuration</w:t>
      </w:r>
      <w:r>
        <w:tab/>
      </w:r>
      <w:r>
        <w:rPr>
          <w:color w:val="6B7884"/>
          <w:sz w:val="20"/>
          <w:szCs w:val="20"/>
        </w:rPr>
        <w:t xml:space="preserve">6</w:t>
      </w:r>
    </w:p>
    <w:p>
      <w:pPr>
        <w:pBdr>
          <w:bottom w:val="single" w:sz="4" w:space="6" w:color="EEF1F4"/>
        </w:pBdr>
        <w:tabs>
          <w:tab w:val="right" w:leader="dot" w:pos="9070"/>
        </w:tabs>
        <w:spacing w:before="60" w:after="60"/>
      </w:pPr>
      <w:r>
        <w:rPr>
          <w:b/>
          <w:color w:val="2E75B6"/>
          <w:sz w:val="21"/>
          <w:szCs w:val="21"/>
        </w:rPr>
        <w:t xml:space="preserve">5</w:t>
      </w:r>
      <w:r>
        <w:rPr>
          <w:sz w:val="21"/>
          <w:szCs w:val="21"/>
        </w:rPr>
        <w:t xml:space="preserve">    </w:t>
      </w:r>
      <w:r>
        <w:rPr>
          <w:b/>
          <w:color w:val="1F2A37"/>
          <w:sz w:val="23"/>
          <w:szCs w:val="23"/>
        </w:rPr>
        <w:t xml:space="preserve">Intégration réseau</w:t>
      </w:r>
      <w:r>
        <w:tab/>
      </w:r>
      <w:r>
        <w:rPr>
          <w:color w:val="6B7884"/>
          <w:sz w:val="20"/>
          <w:szCs w:val="20"/>
        </w:rPr>
        <w:t xml:space="preserve">14</w:t>
      </w:r>
    </w:p>
    <w:p>
      <w:pPr>
        <w:pBdr>
          <w:bottom w:val="single" w:sz="4" w:space="6" w:color="EEF1F4"/>
        </w:pBdr>
        <w:tabs>
          <w:tab w:val="right" w:leader="dot" w:pos="9070"/>
        </w:tabs>
        <w:spacing w:before="60" w:after="60"/>
      </w:pPr>
      <w:r>
        <w:rPr>
          <w:b/>
          <w:color w:val="2E75B6"/>
          <w:sz w:val="21"/>
          <w:szCs w:val="21"/>
        </w:rPr>
        <w:t xml:space="preserve">6</w:t>
      </w:r>
      <w:r>
        <w:rPr>
          <w:sz w:val="21"/>
          <w:szCs w:val="21"/>
        </w:rPr>
        <w:t xml:space="preserve">    </w:t>
      </w:r>
      <w:r>
        <w:rPr>
          <w:b/>
          <w:color w:val="1F2A37"/>
          <w:sz w:val="23"/>
          <w:szCs w:val="23"/>
        </w:rPr>
        <w:t xml:space="preserve">Durcissement et sécurité</w:t>
      </w:r>
      <w:r>
        <w:tab/>
      </w:r>
      <w:r>
        <w:rPr>
          <w:color w:val="6B7884"/>
          <w:sz w:val="20"/>
          <w:szCs w:val="20"/>
        </w:rPr>
        <w:t xml:space="preserve">16</w:t>
      </w:r>
    </w:p>
    <w:p>
      <w:pPr>
        <w:pBdr>
          <w:bottom w:val="single" w:sz="4" w:space="6" w:color="EEF1F4"/>
        </w:pBdr>
        <w:tabs>
          <w:tab w:val="right" w:leader="dot" w:pos="9070"/>
        </w:tabs>
        <w:spacing w:before="60" w:after="60"/>
      </w:pPr>
      <w:r>
        <w:rPr>
          <w:b/>
          <w:color w:val="2E75B6"/>
          <w:sz w:val="21"/>
          <w:szCs w:val="21"/>
        </w:rPr>
        <w:t xml:space="preserve">7</w:t>
      </w:r>
      <w:r>
        <w:rPr>
          <w:sz w:val="21"/>
          <w:szCs w:val="21"/>
        </w:rPr>
        <w:t xml:space="preserve">    </w:t>
      </w:r>
      <w:r>
        <w:rPr>
          <w:b/>
          <w:color w:val="1F2A37"/>
          <w:sz w:val="23"/>
          <w:szCs w:val="23"/>
        </w:rPr>
        <w:t xml:space="preserve">Vérifications finales</w:t>
      </w:r>
      <w:r>
        <w:tab/>
      </w:r>
      <w:r>
        <w:rPr>
          <w:color w:val="6B7884"/>
          <w:sz w:val="20"/>
          <w:szCs w:val="20"/>
        </w:rPr>
        <w:t xml:space="preserve">17</w:t>
      </w:r>
    </w:p>
    <w:p>
      <w:pPr>
        <w:pBdr>
          <w:bottom w:val="single" w:sz="4" w:space="6" w:color="EEF1F4"/>
        </w:pBdr>
        <w:tabs>
          <w:tab w:val="right" w:leader="dot" w:pos="9070"/>
        </w:tabs>
        <w:spacing w:before="60" w:after="60"/>
      </w:pPr>
      <w:r>
        <w:rPr>
          <w:b/>
          <w:color w:val="2E75B6"/>
          <w:sz w:val="21"/>
          <w:szCs w:val="21"/>
        </w:rPr>
        <w:t xml:space="preserve">8</w:t>
      </w:r>
      <w:r>
        <w:rPr>
          <w:sz w:val="21"/>
          <w:szCs w:val="21"/>
        </w:rPr>
        <w:t xml:space="preserve">    </w:t>
      </w:r>
      <w:r>
        <w:rPr>
          <w:b/>
          <w:color w:val="1F2A37"/>
          <w:sz w:val="23"/>
          <w:szCs w:val="23"/>
        </w:rPr>
        <w:t xml:space="preserve">Références et historique des révisions</w:t>
      </w:r>
      <w:r>
        <w:tab/>
      </w:r>
      <w:r>
        <w:rPr>
          <w:color w:val="6B7884"/>
          <w:sz w:val="20"/>
          <w:szCs w:val="20"/>
        </w:rPr>
        <w:t xml:space="preserve">18</w:t>
      </w:r>
    </w:p>
    <w:p>
      <w:pPr>
        <w:keepNext/>
        <w:pageBreakBefore/>
        <w:spacing w:before="300" w:after="140"/>
      </w:pPr>
      <w:r>
        <w:rPr>
          <w:b/>
          <w:color w:val="2E75B6"/>
          <w:sz w:val="30"/>
          <w:szCs w:val="30"/>
        </w:rPr>
        <w:t xml:space="preserve">1    </w:t>
      </w:r>
      <w:r>
        <w:rPr>
          <w:b/>
          <w:color w:val="1F2A37"/>
          <w:sz w:val="30"/>
          <w:szCs w:val="30"/>
        </w:rPr>
        <w:t xml:space="preserve">Objet</w:t>
      </w:r>
    </w:p>
    <w:p>
      <w:pPr>
        <w:spacing w:before="0" w:after="110" w:line="276" w:lineRule="auto"/>
      </w:pPr>
      <w:r>
        <w:rPr>
          <w:color w:val="41505F"/>
          <w:sz w:val="22"/>
          <w:szCs w:val="22"/>
        </w:rPr>
        <w:t xml:space="preserve">Cette procédure décrit la mise en service complète d’un pare-feu Juniper SRX300 neuf ou remis à zéro, depuis la console série jusqu’à un état opérationnel : routage inter-VLAN sur un trunk 802.1Q unique, filtrage par zones, traduction d’adresses vers Internet, distribution DHCP et relais DNS.</w:t>
      </w:r>
    </w:p>
    <w:p>
      <w:pPr>
        <w:spacing w:before="0" w:after="110" w:line="276" w:lineRule="auto"/>
      </w:pPr>
      <w:r>
        <w:rPr>
          <w:color w:val="41505F"/>
          <w:sz w:val="22"/>
          <w:szCs w:val="22"/>
        </w:rPr>
        <w:t xml:space="preserve">Elle traite le cas d’un pare-feu placé derrière un routeur d’accès fournisseur non commutable en mode pont, ce qui impose une double traduction d’adresses assumée. À l’issue de la procédure, le pare-feu route huit VLAN, filtre les flux inter-zones selon une matrice explicite et fournit l’accès Internet aux VLAN autorisés.</w:t>
      </w:r>
    </w:p>
    <w:p>
      <w:pPr>
        <w:keepNext/>
        <w:pageBreakBefore/>
        <w:spacing w:before="300" w:after="140"/>
      </w:pPr>
      <w:r>
        <w:rPr>
          <w:b/>
          <w:color w:val="2E75B6"/>
          <w:sz w:val="30"/>
          <w:szCs w:val="30"/>
        </w:rPr>
        <w:t xml:space="preserve">2    </w:t>
      </w:r>
      <w:r>
        <w:rPr>
          <w:b/>
          <w:color w:val="1F2A37"/>
          <w:sz w:val="30"/>
          <w:szCs w:val="30"/>
        </w:rPr>
        <w:t xml:space="preserve">Périmètre et prérequis</w:t>
      </w:r>
    </w:p>
    <w:p>
      <w:pPr>
        <w:keepNext/>
        <w:spacing w:before="200" w:after="70"/>
      </w:pPr>
      <w:r>
        <w:rPr>
          <w:b/>
          <w:color w:val="245D92"/>
          <w:sz w:val="23"/>
          <w:szCs w:val="23"/>
        </w:rPr>
        <w:t xml:space="preserve">Périmètre</w:t>
      </w:r>
    </w:p>
    <w:p>
      <w:pPr>
        <w:spacing w:before="0" w:after="110" w:line="276" w:lineRule="auto"/>
      </w:pPr>
      <w:r>
        <w:rPr>
          <w:color w:val="41505F"/>
          <w:sz w:val="22"/>
          <w:szCs w:val="22"/>
        </w:rPr>
        <w:t xml:space="preserve">Couvert : </w:t>
      </w:r>
      <w:r>
        <w:rPr>
          <w:color w:val="41505F"/>
          <w:sz w:val="22"/>
          <w:szCs w:val="22"/>
        </w:rPr>
        <w:t xml:space="preserve">remise à zéro, paramètres système, trunk 802.1Q et sous-interfaces de VLAN, zones de sécurité, carnet d’adresses, politiques inter-VLAN et sortantes, serveur DHCP par VLAN, relais DNS, interface WAN en client DHCP, traduction d’adresses source, compte d’administration nominatif, validation et sauvegarde.</w:t>
      </w:r>
    </w:p>
    <w:p>
      <w:pPr>
        <w:spacing w:before="0" w:after="110" w:line="276" w:lineRule="auto"/>
      </w:pPr>
      <w:r>
        <w:rPr>
          <w:color w:val="41505F"/>
          <w:sz w:val="22"/>
          <w:szCs w:val="22"/>
        </w:rPr>
        <w:t xml:space="preserve">Hors périmètre : </w:t>
      </w:r>
      <w:r>
        <w:rPr>
          <w:color w:val="41505F"/>
          <w:sz w:val="22"/>
          <w:szCs w:val="22"/>
        </w:rPr>
        <w:t xml:space="preserve">configuration du commutateur d’accès (voir HL-PRC-002), point d’accès sans fil, tunnels VPN, journalisation déportée, protocoles de routage dynamique, haute disponibilité et mise à jour du système d’exploitation.</w:t>
      </w:r>
    </w:p>
    <w:p>
      <w:pPr>
        <w:keepNext/>
        <w:spacing w:before="200" w:after="70"/>
      </w:pPr>
      <w:r>
        <w:rPr>
          <w:b/>
          <w:color w:val="245D92"/>
          <w:sz w:val="23"/>
          <w:szCs w:val="23"/>
        </w:rPr>
        <w:t xml:space="preserve">Prérequis</w:t>
      </w:r>
    </w:p>
    <w:p>
      <w:pPr>
        <w:spacing w:before="0" w:after="60" w:line="276" w:lineRule="auto"/>
        <w:ind w:left="360" w:hanging="360"/>
      </w:pPr>
      <w:r>
        <w:rPr>
          <w:b/>
          <w:color w:val="2E75B6"/>
          <w:sz w:val="22"/>
          <w:szCs w:val="22"/>
        </w:rPr>
        <w:t xml:space="preserve">•    </w:t>
      </w:r>
      <w:r>
        <w:rPr>
          <w:color w:val="41505F"/>
          <w:sz w:val="22"/>
          <w:szCs w:val="22"/>
        </w:rPr>
        <w:t xml:space="preserve">Accès console série </w:t>
      </w:r>
      <w:r>
        <w:rPr>
          <w:color w:val="41505F"/>
          <w:sz w:val="22"/>
          <w:szCs w:val="22"/>
        </w:rPr>
        <w:t xml:space="preserve">au pare-feu, port DB9 ou USB selon le modèle de câble, 9600 bauds, 8N1, sans contrôle de flux.</w:t>
      </w:r>
    </w:p>
    <w:p>
      <w:pPr>
        <w:spacing w:before="0" w:after="60" w:line="276" w:lineRule="auto"/>
        <w:ind w:left="360" w:hanging="360"/>
      </w:pPr>
      <w:r>
        <w:rPr>
          <w:b/>
          <w:color w:val="2E75B6"/>
          <w:sz w:val="22"/>
          <w:szCs w:val="22"/>
        </w:rPr>
        <w:t xml:space="preserve">•    </w:t>
      </w:r>
      <w:r>
        <w:rPr>
          <w:color w:val="41505F"/>
          <w:sz w:val="22"/>
          <w:szCs w:val="22"/>
        </w:rPr>
        <w:t xml:space="preserve">Plan d’adressage arrêté </w:t>
      </w:r>
      <w:r>
        <w:rPr>
          <w:color w:val="41505F"/>
          <w:sz w:val="22"/>
          <w:szCs w:val="22"/>
        </w:rPr>
        <w:t xml:space="preserve">— un sous-réseau par VLAN, passerelle en dernière adresse utilisable, plages DHCP délimitées.</w:t>
      </w:r>
    </w:p>
    <w:p>
      <w:pPr>
        <w:spacing w:before="0" w:after="60" w:line="276" w:lineRule="auto"/>
        <w:ind w:left="360" w:hanging="360"/>
      </w:pPr>
      <w:r>
        <w:rPr>
          <w:b/>
          <w:color w:val="2E75B6"/>
          <w:sz w:val="22"/>
          <w:szCs w:val="22"/>
        </w:rPr>
        <w:t xml:space="preserve">•    </w:t>
      </w:r>
      <w:r>
        <w:rPr>
          <w:color w:val="41505F"/>
          <w:sz w:val="22"/>
          <w:szCs w:val="22"/>
        </w:rPr>
        <w:t xml:space="preserve">Matrice de flux inter-VLAN validée </w:t>
      </w:r>
      <w:r>
        <w:rPr>
          <w:color w:val="41505F"/>
          <w:sz w:val="22"/>
          <w:szCs w:val="22"/>
        </w:rPr>
        <w:t xml:space="preserve">avant configuration : toute zone sans politique explicite est bloquée par défaut.</w:t>
      </w:r>
    </w:p>
    <w:p>
      <w:pPr>
        <w:spacing w:before="0" w:after="60" w:line="276" w:lineRule="auto"/>
        <w:ind w:left="360" w:hanging="360"/>
      </w:pPr>
      <w:r>
        <w:rPr>
          <w:b/>
          <w:color w:val="2E75B6"/>
          <w:sz w:val="22"/>
          <w:szCs w:val="22"/>
        </w:rPr>
        <w:t xml:space="preserve">•    </w:t>
      </w:r>
      <w:r>
        <w:rPr>
          <w:color w:val="41505F"/>
          <w:sz w:val="22"/>
          <w:szCs w:val="22"/>
        </w:rPr>
        <w:t xml:space="preserve">Deux câbles Ethernet </w:t>
      </w:r>
      <w:r>
        <w:rPr>
          <w:color w:val="41505F"/>
          <w:sz w:val="22"/>
          <w:szCs w:val="22"/>
        </w:rPr>
        <w:t xml:space="preserve">— un pour le lien WAN vers le routeur d’accès, un pour le trunk vers le commutateur.</w:t>
      </w:r>
    </w:p>
    <w:p>
      <w:pPr>
        <w:spacing w:before="0" w:after="60" w:line="276" w:lineRule="auto"/>
        <w:ind w:left="360" w:hanging="360"/>
      </w:pPr>
      <w:r>
        <w:rPr>
          <w:b/>
          <w:color w:val="2E75B6"/>
          <w:sz w:val="22"/>
          <w:szCs w:val="22"/>
        </w:rPr>
        <w:t xml:space="preserve">•    </w:t>
      </w:r>
      <w:r>
        <w:rPr>
          <w:color w:val="41505F"/>
          <w:sz w:val="22"/>
          <w:szCs w:val="22"/>
        </w:rPr>
        <w:t xml:space="preserve">Gestionnaire de secrets disponible </w:t>
      </w:r>
      <w:r>
        <w:rPr>
          <w:color w:val="41505F"/>
          <w:sz w:val="22"/>
          <w:szCs w:val="22"/>
        </w:rPr>
        <w:t xml:space="preserve">ou, à défaut, un support hors ligne pour consigner les mots de passe créés pendant la procédure.</w:t>
      </w:r>
    </w:p>
    <w:p>
      <w:pPr>
        <w:spacing w:before="0" w:after="60" w:line="276" w:lineRule="auto"/>
        <w:ind w:left="360" w:hanging="360"/>
      </w:pPr>
      <w:r>
        <w:rPr>
          <w:b/>
          <w:color w:val="2E75B6"/>
          <w:sz w:val="22"/>
          <w:szCs w:val="22"/>
        </w:rPr>
        <w:t xml:space="preserve">•    </w:t>
      </w:r>
      <w:r>
        <w:rPr>
          <w:color w:val="41505F"/>
          <w:sz w:val="22"/>
          <w:szCs w:val="22"/>
        </w:rPr>
        <w:t xml:space="preserve">Fenêtre d’intervention </w:t>
      </w:r>
      <w:r>
        <w:rPr>
          <w:color w:val="41505F"/>
          <w:sz w:val="22"/>
          <w:szCs w:val="22"/>
        </w:rPr>
        <w:t xml:space="preserve">pendant laquelle la coupure du lien Internet des autres utilisateurs est acceptable, si le lien WAN est partagé.</w:t>
      </w:r>
    </w:p>
    <w:p>
      <w:pPr>
        <w:pBdr>
          <w:left w:val="single" w:sz="36" w:space="8" w:color="2E75B6"/>
        </w:pBdr>
        <w:shd w:val="clear" w:color="auto" w:fill="EAF2FB"/>
        <w:spacing w:before="120" w:after="140" w:line="276" w:lineRule="auto"/>
        <w:ind w:left="140"/>
      </w:pPr>
      <w:r>
        <w:rPr>
          <w:b/>
          <w:caps/>
          <w:color w:val="245D92"/>
          <w:sz w:val="17"/>
          <w:szCs w:val="17"/>
        </w:rPr>
        <w:t xml:space="preserve">Note   </w:t>
      </w:r>
      <w:r>
        <w:rPr>
          <w:b/>
          <w:color w:val="1F2A37"/>
          <w:sz w:val="21"/>
          <w:szCs w:val="21"/>
        </w:rPr>
        <w:t xml:space="preserve">Version logicielle. </w:t>
      </w:r>
      <w:r>
        <w:rPr>
          <w:color w:val="1F4972"/>
          <w:sz w:val="21"/>
          <w:szCs w:val="21"/>
        </w:rPr>
        <w:t xml:space="preserve">La syntaxe de cette procédure a été validée sur Junos 15.1X49-D60.7. Les hiérarchies security zones, security policies, security nat et access address-assignment sont stables sur les branches ultérieures, mais les valeurs par défaut de la configuration d’usine et le comportement du relais DNS diffèrent. Sur une autre version, vérifier chaque commande par complétion avant application.</w:t>
      </w:r>
    </w:p>
    <w:p>
      <w:pPr>
        <w:keepNext/>
        <w:pageBreakBefore/>
        <w:spacing w:before="300" w:after="140"/>
      </w:pPr>
      <w:r>
        <w:rPr>
          <w:b/>
          <w:color w:val="2E75B6"/>
          <w:sz w:val="30"/>
          <w:szCs w:val="30"/>
        </w:rPr>
        <w:t xml:space="preserve">3    </w:t>
      </w:r>
      <w:r>
        <w:rPr>
          <w:b/>
          <w:color w:val="1F2A37"/>
          <w:sz w:val="30"/>
          <w:szCs w:val="30"/>
        </w:rPr>
        <w:t xml:space="preserve">Rôles et responsabilités</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2900"/>
        <w:gridCol w:w="6170"/>
      </w:tblGrid>
      <w:tr>
        <w:tc>
          <w:tcPr>
            <w:tcW w:w="29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Rôle</w:t>
            </w:r>
          </w:p>
        </w:tc>
        <w:tc>
          <w:tcPr>
            <w:tcW w:w="617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Responsabilité</w:t>
            </w:r>
          </w:p>
        </w:tc>
      </w:tr>
      <w:tr>
        <w:tc>
          <w:tcPr>
            <w:tcW w:w="2900" w:type="dxa"/>
            <w:tcMar>
              <w:top w:w="70" w:type="dxa"/>
              <w:left w:w="110" w:type="dxa"/>
              <w:bottom w:w="70" w:type="dxa"/>
              <w:right w:w="110" w:type="dxa"/>
            </w:tcMar>
            <w:vAlign w:val="center"/>
          </w:tcPr>
          <w:p>
            <w:pPr>
              <w:spacing w:before="10" w:after="10"/>
            </w:pPr>
            <w:r>
              <w:rPr>
                <w:b/>
                <w:color w:val="1F2A37"/>
                <w:sz w:val="19"/>
                <w:szCs w:val="19"/>
              </w:rPr>
              <w:t xml:space="preserve">Administrateur réseau</w:t>
            </w:r>
          </w:p>
        </w:tc>
        <w:tc>
          <w:tcPr>
            <w:tcW w:w="6170" w:type="dxa"/>
            <w:tcMar>
              <w:top w:w="70" w:type="dxa"/>
              <w:left w:w="110" w:type="dxa"/>
              <w:bottom w:w="70" w:type="dxa"/>
              <w:right w:w="110" w:type="dxa"/>
            </w:tcMar>
            <w:vAlign w:val="center"/>
          </w:tcPr>
          <w:p>
            <w:pPr>
              <w:spacing w:before="10" w:after="10"/>
            </w:pPr>
            <w:r>
              <w:rPr>
                <w:color w:val="41505F"/>
                <w:sz w:val="19"/>
                <w:szCs w:val="19"/>
              </w:rPr>
              <w:t xml:space="preserve">Conçoit le plan d’adressage et la matrice de flux, exécute la configuration en console, valide les contrôles finaux.</w:t>
            </w:r>
          </w:p>
        </w:tc>
      </w:tr>
      <w:tr>
        <w:tc>
          <w:tcPr>
            <w:tcW w:w="2900" w:type="dxa"/>
            <w:tcMar>
              <w:top w:w="70" w:type="dxa"/>
              <w:left w:w="110" w:type="dxa"/>
              <w:bottom w:w="70" w:type="dxa"/>
              <w:right w:w="110" w:type="dxa"/>
            </w:tcMar>
            <w:vAlign w:val="center"/>
          </w:tcPr>
          <w:p>
            <w:pPr>
              <w:spacing w:before="10" w:after="10"/>
            </w:pPr>
            <w:r>
              <w:rPr>
                <w:b/>
                <w:color w:val="1F2A37"/>
                <w:sz w:val="19"/>
                <w:szCs w:val="19"/>
              </w:rPr>
              <w:t xml:space="preserve">Détenteur des secrets</w:t>
            </w:r>
          </w:p>
        </w:tc>
        <w:tc>
          <w:tcPr>
            <w:tcW w:w="6170" w:type="dxa"/>
            <w:tcMar>
              <w:top w:w="70" w:type="dxa"/>
              <w:left w:w="110" w:type="dxa"/>
              <w:bottom w:w="70" w:type="dxa"/>
              <w:right w:w="110" w:type="dxa"/>
            </w:tcMar>
            <w:vAlign w:val="center"/>
          </w:tcPr>
          <w:p>
            <w:pPr>
              <w:spacing w:before="10" w:after="10"/>
            </w:pPr>
            <w:r>
              <w:rPr>
                <w:color w:val="41505F"/>
                <w:sz w:val="19"/>
                <w:szCs w:val="19"/>
              </w:rPr>
              <w:t xml:space="preserve">Génère et consigne les mots de passe root et administrateur dans le gestionnaire de secrets ; aucun secret n’est écrit dans la documentation.</w:t>
            </w:r>
          </w:p>
        </w:tc>
      </w:tr>
      <w:tr>
        <w:tc>
          <w:tcPr>
            <w:tcW w:w="2900" w:type="dxa"/>
            <w:tcMar>
              <w:top w:w="70" w:type="dxa"/>
              <w:left w:w="110" w:type="dxa"/>
              <w:bottom w:w="70" w:type="dxa"/>
              <w:right w:w="110" w:type="dxa"/>
            </w:tcMar>
            <w:vAlign w:val="center"/>
          </w:tcPr>
          <w:p>
            <w:pPr>
              <w:spacing w:before="10" w:after="10"/>
            </w:pPr>
            <w:r>
              <w:rPr>
                <w:b/>
                <w:color w:val="1F2A37"/>
                <w:sz w:val="19"/>
                <w:szCs w:val="19"/>
              </w:rPr>
              <w:t xml:space="preserve">Exploitant</w:t>
            </w:r>
          </w:p>
        </w:tc>
        <w:tc>
          <w:tcPr>
            <w:tcW w:w="6170" w:type="dxa"/>
            <w:tcMar>
              <w:top w:w="70" w:type="dxa"/>
              <w:left w:w="110" w:type="dxa"/>
              <w:bottom w:w="70" w:type="dxa"/>
              <w:right w:w="110" w:type="dxa"/>
            </w:tcMar>
            <w:vAlign w:val="center"/>
          </w:tcPr>
          <w:p>
            <w:pPr>
              <w:spacing w:before="10" w:after="10"/>
            </w:pPr>
            <w:r>
              <w:rPr>
                <w:color w:val="41505F"/>
                <w:sz w:val="19"/>
                <w:szCs w:val="19"/>
              </w:rPr>
              <w:t xml:space="preserve">Assure la supervision après mise en service et le suivi des dettes techniques consignées en section 6.</w:t>
            </w:r>
          </w:p>
        </w:tc>
      </w:tr>
    </w:tbl>
    <w:p>
      <w:pPr>
        <w:spacing w:after="0"/>
      </w:pPr>
    </w:p>
    <w:p>
      <w:pPr>
        <w:pBdr>
          <w:left w:val="single" w:sz="36" w:space="8" w:color="2E75B6"/>
        </w:pBdr>
        <w:shd w:val="clear" w:color="auto" w:fill="EAF2FB"/>
        <w:spacing w:before="120" w:after="140" w:line="276" w:lineRule="auto"/>
        <w:ind w:left="140"/>
      </w:pPr>
      <w:r>
        <w:rPr>
          <w:b/>
          <w:caps/>
          <w:color w:val="245D92"/>
          <w:sz w:val="17"/>
          <w:szCs w:val="17"/>
        </w:rPr>
        <w:t xml:space="preserve">Note   </w:t>
      </w:r>
      <w:r>
        <w:rPr>
          <w:b/>
          <w:color w:val="1F2A37"/>
          <w:sz w:val="21"/>
          <w:szCs w:val="21"/>
        </w:rPr>
        <w:t xml:space="preserve">Homelab individuel. </w:t>
      </w:r>
      <w:r>
        <w:rPr>
          <w:color w:val="1F4972"/>
          <w:sz w:val="21"/>
          <w:szCs w:val="21"/>
        </w:rPr>
        <w:t xml:space="preserve">Les trois rôles sont tenus par la même personne. Ils sont distingués ici pour identifier les responsabilités, pas pour désigner des intervenants.</w:t>
      </w:r>
    </w:p>
    <w:p>
      <w:pPr>
        <w:keepNext/>
        <w:pageBreakBefore/>
        <w:spacing w:before="300" w:after="140"/>
      </w:pPr>
      <w:r>
        <w:rPr>
          <w:b/>
          <w:color w:val="2E75B6"/>
          <w:sz w:val="30"/>
          <w:szCs w:val="30"/>
        </w:rPr>
        <w:t xml:space="preserve">4    </w:t>
      </w:r>
      <w:r>
        <w:rPr>
          <w:b/>
          <w:color w:val="1F2A37"/>
          <w:sz w:val="30"/>
          <w:szCs w:val="30"/>
        </w:rPr>
        <w:t xml:space="preserve">Procédure de configuration</w:t>
      </w:r>
    </w:p>
    <w:p>
      <w:pPr>
        <w:keepNext/>
        <w:spacing w:before="200" w:after="70"/>
      </w:pPr>
      <w:r>
        <w:rPr>
          <w:b/>
          <w:color w:val="245D92"/>
          <w:sz w:val="23"/>
          <w:szCs w:val="23"/>
        </w:rPr>
        <w:t xml:space="preserve">Paramètres de la procédure</w:t>
      </w:r>
    </w:p>
    <w:p>
      <w:pPr>
        <w:spacing w:before="0" w:after="110" w:line="276" w:lineRule="auto"/>
      </w:pPr>
      <w:r>
        <w:rPr>
          <w:color w:val="41505F"/>
          <w:sz w:val="22"/>
          <w:szCs w:val="22"/>
        </w:rPr>
        <w:t xml:space="preserve">Les valeurs ci-dessous sont celles de l’implémentation de référence. Elles sont reprises telles quelles dans les blocs de commandes des étapes suivantes. Sur une autre installation, adapter le tableau puis régénérer les commandes avant de les appliquer.</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1750"/>
        <w:gridCol w:w="3320"/>
        <w:gridCol w:w="2200"/>
        <w:gridCol w:w="1800"/>
      </w:tblGrid>
      <w:tr>
        <w:tc>
          <w:tcPr>
            <w:tcW w:w="175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Paramètre</w:t>
            </w:r>
          </w:p>
        </w:tc>
        <w:tc>
          <w:tcPr>
            <w:tcW w:w="332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Description</w:t>
            </w:r>
          </w:p>
        </w:tc>
        <w:tc>
          <w:tcPr>
            <w:tcW w:w="22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Valeur de référence</w:t>
            </w:r>
          </w:p>
        </w:tc>
        <w:tc>
          <w:tcPr>
            <w:tcW w:w="18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Contrainte</w:t>
            </w:r>
          </w:p>
        </w:tc>
      </w:tr>
      <w:tr>
        <w:tc>
          <w:tcPr>
            <w:tcW w:w="175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NOM_HOTE</w:t>
            </w:r>
          </w:p>
        </w:tc>
        <w:tc>
          <w:tcPr>
            <w:tcW w:w="3320" w:type="dxa"/>
            <w:tcMar>
              <w:top w:w="70" w:type="dxa"/>
              <w:left w:w="110" w:type="dxa"/>
              <w:bottom w:w="70" w:type="dxa"/>
              <w:right w:w="110" w:type="dxa"/>
            </w:tcMar>
            <w:vAlign w:val="center"/>
          </w:tcPr>
          <w:p>
            <w:pPr>
              <w:spacing w:before="10" w:after="10"/>
            </w:pPr>
            <w:r>
              <w:rPr>
                <w:color w:val="41505F"/>
                <w:sz w:val="19"/>
                <w:szCs w:val="19"/>
              </w:rPr>
              <w:t xml:space="preserve">Nom d’hôte du pare-feu</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fw01.adm.dozylab.lan</w:t>
            </w:r>
          </w:p>
        </w:tc>
        <w:tc>
          <w:tcPr>
            <w:tcW w:w="1800" w:type="dxa"/>
            <w:tcMar>
              <w:top w:w="70" w:type="dxa"/>
              <w:left w:w="110" w:type="dxa"/>
              <w:bottom w:w="70" w:type="dxa"/>
              <w:right w:w="110" w:type="dxa"/>
            </w:tcMar>
            <w:vAlign w:val="center"/>
          </w:tcPr>
          <w:p>
            <w:pPr>
              <w:spacing w:before="10" w:after="10"/>
            </w:pPr>
            <w:r>
              <w:rPr>
                <w:color w:val="41505F"/>
                <w:sz w:val="19"/>
                <w:szCs w:val="19"/>
              </w:rPr>
              <w:t xml:space="preserve">FQDN interne</w:t>
            </w:r>
          </w:p>
        </w:tc>
      </w:tr>
      <w:tr>
        <w:tc>
          <w:tcPr>
            <w:tcW w:w="175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PORT_WAN</w:t>
            </w:r>
          </w:p>
        </w:tc>
        <w:tc>
          <w:tcPr>
            <w:tcW w:w="3320" w:type="dxa"/>
            <w:tcMar>
              <w:top w:w="70" w:type="dxa"/>
              <w:left w:w="110" w:type="dxa"/>
              <w:bottom w:w="70" w:type="dxa"/>
              <w:right w:w="110" w:type="dxa"/>
            </w:tcMar>
            <w:vAlign w:val="center"/>
          </w:tcPr>
          <w:p>
            <w:pPr>
              <w:spacing w:before="10" w:after="10"/>
            </w:pPr>
            <w:r>
              <w:rPr>
                <w:color w:val="41505F"/>
                <w:sz w:val="19"/>
                <w:szCs w:val="19"/>
              </w:rPr>
              <w:t xml:space="preserve">Port physique du lien fournisseur</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ge-0/0/0</w:t>
            </w:r>
          </w:p>
        </w:tc>
        <w:tc>
          <w:tcPr>
            <w:tcW w:w="1800" w:type="dxa"/>
            <w:tcMar>
              <w:top w:w="70" w:type="dxa"/>
              <w:left w:w="110" w:type="dxa"/>
              <w:bottom w:w="70" w:type="dxa"/>
              <w:right w:w="110" w:type="dxa"/>
            </w:tcMar>
            <w:vAlign w:val="center"/>
          </w:tcPr>
          <w:p>
            <w:pPr>
              <w:spacing w:before="10" w:after="10"/>
            </w:pPr>
            <w:r>
              <w:rPr>
                <w:color w:val="41505F"/>
                <w:sz w:val="19"/>
                <w:szCs w:val="19"/>
              </w:rPr>
              <w:t xml:space="preserve">Port cuivre libre</w:t>
            </w:r>
          </w:p>
        </w:tc>
      </w:tr>
      <w:tr>
        <w:tc>
          <w:tcPr>
            <w:tcW w:w="175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PORT_TRUNK</w:t>
            </w:r>
          </w:p>
        </w:tc>
        <w:tc>
          <w:tcPr>
            <w:tcW w:w="3320" w:type="dxa"/>
            <w:tcMar>
              <w:top w:w="70" w:type="dxa"/>
              <w:left w:w="110" w:type="dxa"/>
              <w:bottom w:w="70" w:type="dxa"/>
              <w:right w:w="110" w:type="dxa"/>
            </w:tcMar>
            <w:vAlign w:val="center"/>
          </w:tcPr>
          <w:p>
            <w:pPr>
              <w:spacing w:before="10" w:after="10"/>
            </w:pPr>
            <w:r>
              <w:rPr>
                <w:color w:val="41505F"/>
                <w:sz w:val="19"/>
                <w:szCs w:val="19"/>
              </w:rPr>
              <w:t xml:space="preserve">Port physique du trunk 802.1Q</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ge-0/0/1</w:t>
            </w:r>
          </w:p>
        </w:tc>
        <w:tc>
          <w:tcPr>
            <w:tcW w:w="1800" w:type="dxa"/>
            <w:tcMar>
              <w:top w:w="70" w:type="dxa"/>
              <w:left w:w="110" w:type="dxa"/>
              <w:bottom w:w="70" w:type="dxa"/>
              <w:right w:w="110" w:type="dxa"/>
            </w:tcMar>
            <w:vAlign w:val="center"/>
          </w:tcPr>
          <w:p>
            <w:pPr>
              <w:spacing w:before="10" w:after="10"/>
            </w:pPr>
            <w:r>
              <w:rPr>
                <w:color w:val="41505F"/>
                <w:sz w:val="19"/>
                <w:szCs w:val="19"/>
              </w:rPr>
              <w:t xml:space="preserve">Port cuivre libre</w:t>
            </w:r>
          </w:p>
        </w:tc>
      </w:tr>
      <w:tr>
        <w:tc>
          <w:tcPr>
            <w:tcW w:w="175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PREFIXE_LAN</w:t>
            </w:r>
          </w:p>
        </w:tc>
        <w:tc>
          <w:tcPr>
            <w:tcW w:w="3320" w:type="dxa"/>
            <w:tcMar>
              <w:top w:w="70" w:type="dxa"/>
              <w:left w:w="110" w:type="dxa"/>
              <w:bottom w:w="70" w:type="dxa"/>
              <w:right w:w="110" w:type="dxa"/>
            </w:tcMar>
            <w:vAlign w:val="center"/>
          </w:tcPr>
          <w:p>
            <w:pPr>
              <w:spacing w:before="10" w:after="10"/>
            </w:pPr>
            <w:r>
              <w:rPr>
                <w:color w:val="41505F"/>
                <w:sz w:val="19"/>
                <w:szCs w:val="19"/>
              </w:rPr>
              <w:t xml:space="preserve">Préfixe des sous-réseaux de VLAN</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10.10.X.0/24</w:t>
            </w:r>
          </w:p>
        </w:tc>
        <w:tc>
          <w:tcPr>
            <w:tcW w:w="1800" w:type="dxa"/>
            <w:tcMar>
              <w:top w:w="70" w:type="dxa"/>
              <w:left w:w="110" w:type="dxa"/>
              <w:bottom w:w="70" w:type="dxa"/>
              <w:right w:w="110" w:type="dxa"/>
            </w:tcMar>
            <w:vAlign w:val="center"/>
          </w:tcPr>
          <w:p>
            <w:pPr>
              <w:spacing w:before="10" w:after="10"/>
            </w:pPr>
            <w:r>
              <w:rPr>
                <w:color w:val="41505F"/>
                <w:sz w:val="19"/>
                <w:szCs w:val="19"/>
              </w:rPr>
              <w:t xml:space="preserve">X = identifiant VLAN</w:t>
            </w:r>
          </w:p>
        </w:tc>
      </w:tr>
      <w:tr>
        <w:tc>
          <w:tcPr>
            <w:tcW w:w="175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SUFFIXE_GW</w:t>
            </w:r>
          </w:p>
        </w:tc>
        <w:tc>
          <w:tcPr>
            <w:tcW w:w="3320" w:type="dxa"/>
            <w:tcMar>
              <w:top w:w="70" w:type="dxa"/>
              <w:left w:w="110" w:type="dxa"/>
              <w:bottom w:w="70" w:type="dxa"/>
              <w:right w:w="110" w:type="dxa"/>
            </w:tcMar>
            <w:vAlign w:val="center"/>
          </w:tcPr>
          <w:p>
            <w:pPr>
              <w:spacing w:before="10" w:after="10"/>
            </w:pPr>
            <w:r>
              <w:rPr>
                <w:color w:val="41505F"/>
                <w:sz w:val="19"/>
                <w:szCs w:val="19"/>
              </w:rPr>
              <w:t xml:space="preserve">Dernier octet de la passerelle</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254</w:t>
            </w:r>
          </w:p>
        </w:tc>
        <w:tc>
          <w:tcPr>
            <w:tcW w:w="1800" w:type="dxa"/>
            <w:tcMar>
              <w:top w:w="70" w:type="dxa"/>
              <w:left w:w="110" w:type="dxa"/>
              <w:bottom w:w="70" w:type="dxa"/>
              <w:right w:w="110" w:type="dxa"/>
            </w:tcMar>
            <w:vAlign w:val="center"/>
          </w:tcPr>
          <w:p>
            <w:pPr>
              <w:spacing w:before="10" w:after="10"/>
            </w:pPr>
            <w:r>
              <w:rPr>
                <w:color w:val="41505F"/>
                <w:sz w:val="19"/>
                <w:szCs w:val="19"/>
              </w:rPr>
              <w:t xml:space="preserve">Hors plage DHCP</w:t>
            </w:r>
          </w:p>
        </w:tc>
      </w:tr>
      <w:tr>
        <w:tc>
          <w:tcPr>
            <w:tcW w:w="175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PLAGE_DHCP</w:t>
            </w:r>
          </w:p>
        </w:tc>
        <w:tc>
          <w:tcPr>
            <w:tcW w:w="3320" w:type="dxa"/>
            <w:tcMar>
              <w:top w:w="70" w:type="dxa"/>
              <w:left w:w="110" w:type="dxa"/>
              <w:bottom w:w="70" w:type="dxa"/>
              <w:right w:w="110" w:type="dxa"/>
            </w:tcMar>
            <w:vAlign w:val="center"/>
          </w:tcPr>
          <w:p>
            <w:pPr>
              <w:spacing w:before="10" w:after="10"/>
            </w:pPr>
            <w:r>
              <w:rPr>
                <w:color w:val="41505F"/>
                <w:sz w:val="19"/>
                <w:szCs w:val="19"/>
              </w:rPr>
              <w:t xml:space="preserve">Plage distribuée par VLAN</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.100 à .199</w:t>
            </w:r>
          </w:p>
        </w:tc>
        <w:tc>
          <w:tcPr>
            <w:tcW w:w="1800" w:type="dxa"/>
            <w:tcMar>
              <w:top w:w="70" w:type="dxa"/>
              <w:left w:w="110" w:type="dxa"/>
              <w:bottom w:w="70" w:type="dxa"/>
              <w:right w:w="110" w:type="dxa"/>
            </w:tcMar>
            <w:vAlign w:val="center"/>
          </w:tcPr>
          <w:p>
            <w:pPr>
              <w:spacing w:before="10" w:after="10"/>
            </w:pPr>
            <w:r>
              <w:rPr>
                <w:color w:val="41505F"/>
                <w:sz w:val="19"/>
                <w:szCs w:val="19"/>
              </w:rPr>
              <w:t xml:space="preserve">Hors adresses statiques</w:t>
            </w:r>
          </w:p>
        </w:tc>
      </w:tr>
      <w:tr>
        <w:tc>
          <w:tcPr>
            <w:tcW w:w="175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DNS_AMONT_1</w:t>
            </w:r>
          </w:p>
        </w:tc>
        <w:tc>
          <w:tcPr>
            <w:tcW w:w="3320" w:type="dxa"/>
            <w:tcMar>
              <w:top w:w="70" w:type="dxa"/>
              <w:left w:w="110" w:type="dxa"/>
              <w:bottom w:w="70" w:type="dxa"/>
              <w:right w:w="110" w:type="dxa"/>
            </w:tcMar>
            <w:vAlign w:val="center"/>
          </w:tcPr>
          <w:p>
            <w:pPr>
              <w:spacing w:before="10" w:after="10"/>
            </w:pPr>
            <w:r>
              <w:rPr>
                <w:color w:val="41505F"/>
                <w:sz w:val="19"/>
                <w:szCs w:val="19"/>
              </w:rPr>
              <w:t xml:space="preserve">Premier résolveur amont</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9.9.9.9</w:t>
            </w:r>
          </w:p>
        </w:tc>
        <w:tc>
          <w:tcPr>
            <w:tcW w:w="1800" w:type="dxa"/>
            <w:tcMar>
              <w:top w:w="70" w:type="dxa"/>
              <w:left w:w="110" w:type="dxa"/>
              <w:bottom w:w="70" w:type="dxa"/>
              <w:right w:w="110" w:type="dxa"/>
            </w:tcMar>
            <w:vAlign w:val="center"/>
          </w:tcPr>
          <w:p>
            <w:pPr>
              <w:spacing w:before="10" w:after="10"/>
            </w:pPr>
            <w:r>
              <w:rPr>
                <w:color w:val="41505F"/>
                <w:sz w:val="19"/>
                <w:szCs w:val="19"/>
              </w:rPr>
              <w:t xml:space="preserve">Joignable depuis le WAN</w:t>
            </w:r>
          </w:p>
        </w:tc>
      </w:tr>
      <w:tr>
        <w:tc>
          <w:tcPr>
            <w:tcW w:w="175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DNS_AMONT_2</w:t>
            </w:r>
          </w:p>
        </w:tc>
        <w:tc>
          <w:tcPr>
            <w:tcW w:w="3320" w:type="dxa"/>
            <w:tcMar>
              <w:top w:w="70" w:type="dxa"/>
              <w:left w:w="110" w:type="dxa"/>
              <w:bottom w:w="70" w:type="dxa"/>
              <w:right w:w="110" w:type="dxa"/>
            </w:tcMar>
            <w:vAlign w:val="center"/>
          </w:tcPr>
          <w:p>
            <w:pPr>
              <w:spacing w:before="10" w:after="10"/>
            </w:pPr>
            <w:r>
              <w:rPr>
                <w:color w:val="41505F"/>
                <w:sz w:val="19"/>
                <w:szCs w:val="19"/>
              </w:rPr>
              <w:t xml:space="preserve">Second résolveur amont</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1.1.1.1</w:t>
            </w:r>
          </w:p>
        </w:tc>
        <w:tc>
          <w:tcPr>
            <w:tcW w:w="1800" w:type="dxa"/>
            <w:tcMar>
              <w:top w:w="70" w:type="dxa"/>
              <w:left w:w="110" w:type="dxa"/>
              <w:bottom w:w="70" w:type="dxa"/>
              <w:right w:w="110" w:type="dxa"/>
            </w:tcMar>
            <w:vAlign w:val="center"/>
          </w:tcPr>
          <w:p>
            <w:pPr>
              <w:spacing w:before="10" w:after="10"/>
            </w:pPr>
            <w:r>
              <w:rPr>
                <w:color w:val="41505F"/>
                <w:sz w:val="19"/>
                <w:szCs w:val="19"/>
              </w:rPr>
              <w:t xml:space="preserve">Joignable depuis le WAN</w:t>
            </w:r>
          </w:p>
        </w:tc>
      </w:tr>
      <w:tr>
        <w:tc>
          <w:tcPr>
            <w:tcW w:w="175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MDP_ROOT</w:t>
            </w:r>
          </w:p>
        </w:tc>
        <w:tc>
          <w:tcPr>
            <w:tcW w:w="3320" w:type="dxa"/>
            <w:tcMar>
              <w:top w:w="70" w:type="dxa"/>
              <w:left w:w="110" w:type="dxa"/>
              <w:bottom w:w="70" w:type="dxa"/>
              <w:right w:w="110" w:type="dxa"/>
            </w:tcMar>
            <w:vAlign w:val="center"/>
          </w:tcPr>
          <w:p>
            <w:pPr>
              <w:spacing w:before="10" w:after="10"/>
            </w:pPr>
            <w:r>
              <w:rPr>
                <w:color w:val="41505F"/>
                <w:sz w:val="19"/>
                <w:szCs w:val="19"/>
              </w:rPr>
              <w:t xml:space="preserve">Mot de passe du compte root</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[SECRET — NON DOCUMENTÉ]</w:t>
            </w:r>
          </w:p>
        </w:tc>
        <w:tc>
          <w:tcPr>
            <w:tcW w:w="1800" w:type="dxa"/>
            <w:tcMar>
              <w:top w:w="70" w:type="dxa"/>
              <w:left w:w="110" w:type="dxa"/>
              <w:bottom w:w="70" w:type="dxa"/>
              <w:right w:w="110" w:type="dxa"/>
            </w:tcMar>
            <w:vAlign w:val="center"/>
          </w:tcPr>
          <w:p>
            <w:pPr>
              <w:spacing w:before="10" w:after="10"/>
            </w:pPr>
            <w:r>
              <w:rPr>
                <w:color w:val="41505F"/>
                <w:sz w:val="19"/>
                <w:szCs w:val="19"/>
              </w:rPr>
              <w:t xml:space="preserve">≥ 6 caractères</w:t>
            </w:r>
          </w:p>
        </w:tc>
      </w:tr>
      <w:tr>
        <w:tc>
          <w:tcPr>
            <w:tcW w:w="175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MDP_ADMIN</w:t>
            </w:r>
          </w:p>
        </w:tc>
        <w:tc>
          <w:tcPr>
            <w:tcW w:w="3320" w:type="dxa"/>
            <w:tcMar>
              <w:top w:w="70" w:type="dxa"/>
              <w:left w:w="110" w:type="dxa"/>
              <w:bottom w:w="70" w:type="dxa"/>
              <w:right w:w="110" w:type="dxa"/>
            </w:tcMar>
            <w:vAlign w:val="center"/>
          </w:tcPr>
          <w:p>
            <w:pPr>
              <w:spacing w:before="10" w:after="10"/>
            </w:pPr>
            <w:r>
              <w:rPr>
                <w:color w:val="41505F"/>
                <w:sz w:val="19"/>
                <w:szCs w:val="19"/>
              </w:rPr>
              <w:t xml:space="preserve">Mot de passe du compte nominatif</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[SECRET — NON DOCUMENTÉ]</w:t>
            </w:r>
          </w:p>
        </w:tc>
        <w:tc>
          <w:tcPr>
            <w:tcW w:w="1800" w:type="dxa"/>
            <w:tcMar>
              <w:top w:w="70" w:type="dxa"/>
              <w:left w:w="110" w:type="dxa"/>
              <w:bottom w:w="70" w:type="dxa"/>
              <w:right w:w="110" w:type="dxa"/>
            </w:tcMar>
            <w:vAlign w:val="center"/>
          </w:tcPr>
          <w:p>
            <w:pPr>
              <w:spacing w:before="10" w:after="10"/>
            </w:pPr>
            <w:r>
              <w:rPr>
                <w:color w:val="41505F"/>
                <w:sz w:val="19"/>
                <w:szCs w:val="19"/>
              </w:rPr>
              <w:t xml:space="preserve">≥ 6 caractères</w:t>
            </w:r>
          </w:p>
        </w:tc>
      </w:tr>
    </w:tbl>
    <w:p>
      <w:pPr>
        <w:spacing w:after="0"/>
      </w:pPr>
    </w:p>
    <w:p>
      <w:pPr>
        <w:pBdr>
          <w:left w:val="single" w:sz="36" w:space="8" w:color="A9710F"/>
        </w:pBdr>
        <w:shd w:val="clear" w:color="auto" w:fill="FBF2E3"/>
        <w:spacing w:before="120" w:after="140" w:line="276" w:lineRule="auto"/>
        <w:ind w:left="140"/>
      </w:pPr>
      <w:r>
        <w:rPr>
          <w:b/>
          <w:caps/>
          <w:color w:val="A9710F"/>
          <w:sz w:val="17"/>
          <w:szCs w:val="17"/>
        </w:rPr>
        <w:t xml:space="preserve">Attention   </w:t>
      </w:r>
      <w:r>
        <w:rPr>
          <w:b/>
          <w:color w:val="1F2A37"/>
          <w:sz w:val="21"/>
          <w:szCs w:val="21"/>
        </w:rPr>
        <w:t xml:space="preserve">Substitution des paramètres. </w:t>
      </w:r>
      <w:r>
        <w:rPr>
          <w:color w:val="7A5409"/>
          <w:sz w:val="21"/>
          <w:szCs w:val="21"/>
        </w:rPr>
        <w:t xml:space="preserve">Ne jamais coller un bloc de commandes contenant encore un nom de paramètre : Junos rejette la ligne avec « invalid interface type » et la session série peut concaténer les lignes suivantes. La substitution se fait avant le collage, pas pendant.</w:t>
      </w:r>
    </w:p>
    <w:p>
      <w:pPr>
        <w:keepNext/>
        <w:spacing w:before="200" w:after="70"/>
      </w:pPr>
      <w:r>
        <w:rPr>
          <w:b/>
          <w:color w:val="245D92"/>
          <w:sz w:val="23"/>
          <w:szCs w:val="23"/>
        </w:rPr>
        <w:t xml:space="preserve">Plan d’adressage</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1100"/>
        <w:gridCol w:w="1700"/>
        <w:gridCol w:w="2200"/>
        <w:gridCol w:w="2170"/>
        <w:gridCol w:w="1900"/>
      </w:tblGrid>
      <w:tr>
        <w:tc>
          <w:tcPr>
            <w:tcW w:w="11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VLAN</w:t>
            </w:r>
          </w:p>
        </w:tc>
        <w:tc>
          <w:tcPr>
            <w:tcW w:w="17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Zone</w:t>
            </w:r>
          </w:p>
        </w:tc>
        <w:tc>
          <w:tcPr>
            <w:tcW w:w="22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Sous-réseau</w:t>
            </w:r>
          </w:p>
        </w:tc>
        <w:tc>
          <w:tcPr>
            <w:tcW w:w="217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Passerelle</w:t>
            </w:r>
          </w:p>
        </w:tc>
        <w:tc>
          <w:tcPr>
            <w:tcW w:w="19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Plage DHCP</w:t>
            </w:r>
          </w:p>
        </w:tc>
      </w:tr>
      <w:tr>
        <w:tc>
          <w:tcPr>
            <w:tcW w:w="1100" w:type="dxa"/>
            <w:tcMar>
              <w:top w:w="70" w:type="dxa"/>
              <w:left w:w="110" w:type="dxa"/>
              <w:bottom w:w="70" w:type="dxa"/>
              <w:right w:w="110" w:type="dxa"/>
            </w:tcMar>
            <w:vAlign w:val="center"/>
          </w:tcPr>
          <w:p>
            <w:pPr>
              <w:spacing w:before="10" w:after="10"/>
            </w:pPr>
            <w:r>
              <w:rPr>
                <w:b/>
                <w:color w:val="1F2A37"/>
                <w:sz w:val="19"/>
                <w:szCs w:val="19"/>
              </w:rPr>
              <w:t xml:space="preserve">10</w:t>
            </w:r>
          </w:p>
        </w:tc>
        <w:tc>
          <w:tcPr>
            <w:tcW w:w="1700" w:type="dxa"/>
            <w:tcMar>
              <w:top w:w="70" w:type="dxa"/>
              <w:left w:w="110" w:type="dxa"/>
              <w:bottom w:w="70" w:type="dxa"/>
              <w:right w:w="110" w:type="dxa"/>
            </w:tcMar>
            <w:vAlign w:val="center"/>
          </w:tcPr>
          <w:p>
            <w:pPr>
              <w:spacing w:before="10" w:after="10"/>
            </w:pPr>
            <w:r>
              <w:rPr>
                <w:color w:val="41505F"/>
                <w:sz w:val="19"/>
                <w:szCs w:val="19"/>
              </w:rPr>
              <w:t xml:space="preserve">adm</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10.10.10.0/24</w:t>
            </w:r>
          </w:p>
        </w:tc>
        <w:tc>
          <w:tcPr>
            <w:tcW w:w="21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10.10.10.254</w:t>
            </w:r>
          </w:p>
        </w:tc>
        <w:tc>
          <w:tcPr>
            <w:tcW w:w="19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.100 – .199</w:t>
            </w:r>
          </w:p>
        </w:tc>
      </w:tr>
      <w:tr>
        <w:tc>
          <w:tcPr>
            <w:tcW w:w="1100" w:type="dxa"/>
            <w:tcMar>
              <w:top w:w="70" w:type="dxa"/>
              <w:left w:w="110" w:type="dxa"/>
              <w:bottom w:w="70" w:type="dxa"/>
              <w:right w:w="110" w:type="dxa"/>
            </w:tcMar>
            <w:vAlign w:val="center"/>
          </w:tcPr>
          <w:p>
            <w:pPr>
              <w:spacing w:before="10" w:after="10"/>
            </w:pPr>
            <w:r>
              <w:rPr>
                <w:b/>
                <w:color w:val="1F2A37"/>
                <w:sz w:val="19"/>
                <w:szCs w:val="19"/>
              </w:rPr>
              <w:t xml:space="preserve">20</w:t>
            </w:r>
          </w:p>
        </w:tc>
        <w:tc>
          <w:tcPr>
            <w:tcW w:w="1700" w:type="dxa"/>
            <w:tcMar>
              <w:top w:w="70" w:type="dxa"/>
              <w:left w:w="110" w:type="dxa"/>
              <w:bottom w:w="70" w:type="dxa"/>
              <w:right w:w="110" w:type="dxa"/>
            </w:tcMar>
            <w:vAlign w:val="center"/>
          </w:tcPr>
          <w:p>
            <w:pPr>
              <w:spacing w:before="10" w:after="10"/>
            </w:pPr>
            <w:r>
              <w:rPr>
                <w:color w:val="41505F"/>
                <w:sz w:val="19"/>
                <w:szCs w:val="19"/>
              </w:rPr>
              <w:t xml:space="preserve">srv</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10.10.20.0/24</w:t>
            </w:r>
          </w:p>
        </w:tc>
        <w:tc>
          <w:tcPr>
            <w:tcW w:w="21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10.10.20.254</w:t>
            </w:r>
          </w:p>
        </w:tc>
        <w:tc>
          <w:tcPr>
            <w:tcW w:w="19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.100 – .199</w:t>
            </w:r>
          </w:p>
        </w:tc>
      </w:tr>
      <w:tr>
        <w:tc>
          <w:tcPr>
            <w:tcW w:w="1100" w:type="dxa"/>
            <w:tcMar>
              <w:top w:w="70" w:type="dxa"/>
              <w:left w:w="110" w:type="dxa"/>
              <w:bottom w:w="70" w:type="dxa"/>
              <w:right w:w="110" w:type="dxa"/>
            </w:tcMar>
            <w:vAlign w:val="center"/>
          </w:tcPr>
          <w:p>
            <w:pPr>
              <w:spacing w:before="10" w:after="10"/>
            </w:pPr>
            <w:r>
              <w:rPr>
                <w:b/>
                <w:color w:val="1F2A37"/>
                <w:sz w:val="19"/>
                <w:szCs w:val="19"/>
              </w:rPr>
              <w:t xml:space="preserve">30</w:t>
            </w:r>
          </w:p>
        </w:tc>
        <w:tc>
          <w:tcPr>
            <w:tcW w:w="1700" w:type="dxa"/>
            <w:tcMar>
              <w:top w:w="70" w:type="dxa"/>
              <w:left w:w="110" w:type="dxa"/>
              <w:bottom w:w="70" w:type="dxa"/>
              <w:right w:w="110" w:type="dxa"/>
            </w:tcMar>
            <w:vAlign w:val="center"/>
          </w:tcPr>
          <w:p>
            <w:pPr>
              <w:spacing w:before="10" w:after="10"/>
            </w:pPr>
            <w:r>
              <w:rPr>
                <w:color w:val="41505F"/>
                <w:sz w:val="19"/>
                <w:szCs w:val="19"/>
              </w:rPr>
              <w:t xml:space="preserve">dmz</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10.10.30.0/24</w:t>
            </w:r>
          </w:p>
        </w:tc>
        <w:tc>
          <w:tcPr>
            <w:tcW w:w="21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10.10.30.254</w:t>
            </w:r>
          </w:p>
        </w:tc>
        <w:tc>
          <w:tcPr>
            <w:tcW w:w="19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.100 – .199</w:t>
            </w:r>
          </w:p>
        </w:tc>
      </w:tr>
      <w:tr>
        <w:tc>
          <w:tcPr>
            <w:tcW w:w="1100" w:type="dxa"/>
            <w:tcMar>
              <w:top w:w="70" w:type="dxa"/>
              <w:left w:w="110" w:type="dxa"/>
              <w:bottom w:w="70" w:type="dxa"/>
              <w:right w:w="110" w:type="dxa"/>
            </w:tcMar>
            <w:vAlign w:val="center"/>
          </w:tcPr>
          <w:p>
            <w:pPr>
              <w:spacing w:before="10" w:after="10"/>
            </w:pPr>
            <w:r>
              <w:rPr>
                <w:b/>
                <w:color w:val="1F2A37"/>
                <w:sz w:val="19"/>
                <w:szCs w:val="19"/>
              </w:rPr>
              <w:t xml:space="preserve">40</w:t>
            </w:r>
          </w:p>
        </w:tc>
        <w:tc>
          <w:tcPr>
            <w:tcW w:w="1700" w:type="dxa"/>
            <w:tcMar>
              <w:top w:w="70" w:type="dxa"/>
              <w:left w:w="110" w:type="dxa"/>
              <w:bottom w:w="70" w:type="dxa"/>
              <w:right w:w="110" w:type="dxa"/>
            </w:tcMar>
            <w:vAlign w:val="center"/>
          </w:tcPr>
          <w:p>
            <w:pPr>
              <w:spacing w:before="10" w:after="10"/>
            </w:pPr>
            <w:r>
              <w:rPr>
                <w:color w:val="41505F"/>
                <w:sz w:val="19"/>
                <w:szCs w:val="19"/>
              </w:rPr>
              <w:t xml:space="preserve">cli</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10.10.40.0/24</w:t>
            </w:r>
          </w:p>
        </w:tc>
        <w:tc>
          <w:tcPr>
            <w:tcW w:w="21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10.10.40.254</w:t>
            </w:r>
          </w:p>
        </w:tc>
        <w:tc>
          <w:tcPr>
            <w:tcW w:w="19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.100 – .199</w:t>
            </w:r>
          </w:p>
        </w:tc>
      </w:tr>
      <w:tr>
        <w:tc>
          <w:tcPr>
            <w:tcW w:w="1100" w:type="dxa"/>
            <w:tcMar>
              <w:top w:w="70" w:type="dxa"/>
              <w:left w:w="110" w:type="dxa"/>
              <w:bottom w:w="70" w:type="dxa"/>
              <w:right w:w="110" w:type="dxa"/>
            </w:tcMar>
            <w:vAlign w:val="center"/>
          </w:tcPr>
          <w:p>
            <w:pPr>
              <w:spacing w:before="10" w:after="10"/>
            </w:pPr>
            <w:r>
              <w:rPr>
                <w:b/>
                <w:color w:val="1F2A37"/>
                <w:sz w:val="19"/>
                <w:szCs w:val="19"/>
              </w:rPr>
              <w:t xml:space="preserve">50</w:t>
            </w:r>
          </w:p>
        </w:tc>
        <w:tc>
          <w:tcPr>
            <w:tcW w:w="1700" w:type="dxa"/>
            <w:tcMar>
              <w:top w:w="70" w:type="dxa"/>
              <w:left w:w="110" w:type="dxa"/>
              <w:bottom w:w="70" w:type="dxa"/>
              <w:right w:w="110" w:type="dxa"/>
            </w:tcMar>
            <w:vAlign w:val="center"/>
          </w:tcPr>
          <w:p>
            <w:pPr>
              <w:spacing w:before="10" w:after="10"/>
            </w:pPr>
            <w:r>
              <w:rPr>
                <w:color w:val="41505F"/>
                <w:sz w:val="19"/>
                <w:szCs w:val="19"/>
              </w:rPr>
              <w:t xml:space="preserve">voip</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10.10.50.0/24</w:t>
            </w:r>
          </w:p>
        </w:tc>
        <w:tc>
          <w:tcPr>
            <w:tcW w:w="21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10.10.50.254</w:t>
            </w:r>
          </w:p>
        </w:tc>
        <w:tc>
          <w:tcPr>
            <w:tcW w:w="19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.100 – .199</w:t>
            </w:r>
          </w:p>
        </w:tc>
      </w:tr>
      <w:tr>
        <w:tc>
          <w:tcPr>
            <w:tcW w:w="1100" w:type="dxa"/>
            <w:tcMar>
              <w:top w:w="70" w:type="dxa"/>
              <w:left w:w="110" w:type="dxa"/>
              <w:bottom w:w="70" w:type="dxa"/>
              <w:right w:w="110" w:type="dxa"/>
            </w:tcMar>
            <w:vAlign w:val="center"/>
          </w:tcPr>
          <w:p>
            <w:pPr>
              <w:spacing w:before="10" w:after="10"/>
            </w:pPr>
            <w:r>
              <w:rPr>
                <w:b/>
                <w:color w:val="1F2A37"/>
                <w:sz w:val="19"/>
                <w:szCs w:val="19"/>
              </w:rPr>
              <w:t xml:space="preserve">60</w:t>
            </w:r>
          </w:p>
        </w:tc>
        <w:tc>
          <w:tcPr>
            <w:tcW w:w="1700" w:type="dxa"/>
            <w:tcMar>
              <w:top w:w="70" w:type="dxa"/>
              <w:left w:w="110" w:type="dxa"/>
              <w:bottom w:w="70" w:type="dxa"/>
              <w:right w:w="110" w:type="dxa"/>
            </w:tcMar>
            <w:vAlign w:val="center"/>
          </w:tcPr>
          <w:p>
            <w:pPr>
              <w:spacing w:before="10" w:after="10"/>
            </w:pPr>
            <w:r>
              <w:rPr>
                <w:color w:val="41505F"/>
                <w:sz w:val="19"/>
                <w:szCs w:val="19"/>
              </w:rPr>
              <w:t xml:space="preserve">dep</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10.10.60.0/24</w:t>
            </w:r>
          </w:p>
        </w:tc>
        <w:tc>
          <w:tcPr>
            <w:tcW w:w="21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10.10.60.254</w:t>
            </w:r>
          </w:p>
        </w:tc>
        <w:tc>
          <w:tcPr>
            <w:tcW w:w="19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.100 – .199</w:t>
            </w:r>
          </w:p>
        </w:tc>
      </w:tr>
      <w:tr>
        <w:tc>
          <w:tcPr>
            <w:tcW w:w="1100" w:type="dxa"/>
            <w:tcMar>
              <w:top w:w="70" w:type="dxa"/>
              <w:left w:w="110" w:type="dxa"/>
              <w:bottom w:w="70" w:type="dxa"/>
              <w:right w:w="110" w:type="dxa"/>
            </w:tcMar>
            <w:vAlign w:val="center"/>
          </w:tcPr>
          <w:p>
            <w:pPr>
              <w:spacing w:before="10" w:after="10"/>
            </w:pPr>
            <w:r>
              <w:rPr>
                <w:b/>
                <w:color w:val="1F2A37"/>
                <w:sz w:val="19"/>
                <w:szCs w:val="19"/>
              </w:rPr>
              <w:t xml:space="preserve">70</w:t>
            </w:r>
          </w:p>
        </w:tc>
        <w:tc>
          <w:tcPr>
            <w:tcW w:w="1700" w:type="dxa"/>
            <w:tcMar>
              <w:top w:w="70" w:type="dxa"/>
              <w:left w:w="110" w:type="dxa"/>
              <w:bottom w:w="70" w:type="dxa"/>
              <w:right w:w="110" w:type="dxa"/>
            </w:tcMar>
            <w:vAlign w:val="center"/>
          </w:tcPr>
          <w:p>
            <w:pPr>
              <w:spacing w:before="10" w:after="10"/>
            </w:pPr>
            <w:r>
              <w:rPr>
                <w:color w:val="41505F"/>
                <w:sz w:val="19"/>
                <w:szCs w:val="19"/>
              </w:rPr>
              <w:t xml:space="preserve">wfi</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10.10.70.0/24</w:t>
            </w:r>
          </w:p>
        </w:tc>
        <w:tc>
          <w:tcPr>
            <w:tcW w:w="21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10.10.70.254</w:t>
            </w:r>
          </w:p>
        </w:tc>
        <w:tc>
          <w:tcPr>
            <w:tcW w:w="19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.100 – .199</w:t>
            </w:r>
          </w:p>
        </w:tc>
      </w:tr>
      <w:tr>
        <w:tc>
          <w:tcPr>
            <w:tcW w:w="1100" w:type="dxa"/>
            <w:tcMar>
              <w:top w:w="70" w:type="dxa"/>
              <w:left w:w="110" w:type="dxa"/>
              <w:bottom w:w="70" w:type="dxa"/>
              <w:right w:w="110" w:type="dxa"/>
            </w:tcMar>
            <w:vAlign w:val="center"/>
          </w:tcPr>
          <w:p>
            <w:pPr>
              <w:spacing w:before="10" w:after="10"/>
            </w:pPr>
            <w:r>
              <w:rPr>
                <w:b/>
                <w:color w:val="1F2A37"/>
                <w:sz w:val="19"/>
                <w:szCs w:val="19"/>
              </w:rPr>
              <w:t xml:space="preserve">80</w:t>
            </w:r>
          </w:p>
        </w:tc>
        <w:tc>
          <w:tcPr>
            <w:tcW w:w="1700" w:type="dxa"/>
            <w:tcMar>
              <w:top w:w="70" w:type="dxa"/>
              <w:left w:w="110" w:type="dxa"/>
              <w:bottom w:w="70" w:type="dxa"/>
              <w:right w:w="110" w:type="dxa"/>
            </w:tcMar>
            <w:vAlign w:val="center"/>
          </w:tcPr>
          <w:p>
            <w:pPr>
              <w:spacing w:before="10" w:after="10"/>
            </w:pPr>
            <w:r>
              <w:rPr>
                <w:color w:val="41505F"/>
                <w:sz w:val="19"/>
                <w:szCs w:val="19"/>
              </w:rPr>
              <w:t xml:space="preserve">lab</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10.10.80.0/24</w:t>
            </w:r>
          </w:p>
        </w:tc>
        <w:tc>
          <w:tcPr>
            <w:tcW w:w="21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10.10.80.254</w:t>
            </w:r>
          </w:p>
        </w:tc>
        <w:tc>
          <w:tcPr>
            <w:tcW w:w="19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.100 – .199</w:t>
            </w:r>
          </w:p>
        </w:tc>
      </w:tr>
      <w:tr>
        <w:tc>
          <w:tcPr>
            <w:tcW w:w="1100" w:type="dxa"/>
            <w:tcMar>
              <w:top w:w="70" w:type="dxa"/>
              <w:left w:w="110" w:type="dxa"/>
              <w:bottom w:w="70" w:type="dxa"/>
              <w:right w:w="110" w:type="dxa"/>
            </w:tcMar>
            <w:vAlign w:val="center"/>
          </w:tcPr>
          <w:p>
            <w:pPr>
              <w:spacing w:before="10" w:after="10"/>
            </w:pPr>
            <w:r>
              <w:rPr>
                <w:b/>
                <w:color w:val="1F2A37"/>
                <w:sz w:val="19"/>
                <w:szCs w:val="19"/>
              </w:rPr>
              <w:t xml:space="preserve">99</w:t>
            </w:r>
          </w:p>
        </w:tc>
        <w:tc>
          <w:tcPr>
            <w:tcW w:w="1700" w:type="dxa"/>
            <w:tcMar>
              <w:top w:w="70" w:type="dxa"/>
              <w:left w:w="110" w:type="dxa"/>
              <w:bottom w:w="70" w:type="dxa"/>
              <w:right w:w="110" w:type="dxa"/>
            </w:tcMar>
            <w:vAlign w:val="center"/>
          </w:tcPr>
          <w:p>
            <w:pPr>
              <w:spacing w:before="10" w:after="10"/>
            </w:pPr>
            <w:r>
              <w:rPr>
                <w:color w:val="41505F"/>
                <w:sz w:val="19"/>
                <w:szCs w:val="19"/>
              </w:rPr>
              <w:t xml:space="preserve">— (non routé)</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[À COMPLÉTER]</w:t>
            </w:r>
          </w:p>
        </w:tc>
        <w:tc>
          <w:tcPr>
            <w:tcW w:w="21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Aucune</w:t>
            </w:r>
          </w:p>
        </w:tc>
        <w:tc>
          <w:tcPr>
            <w:tcW w:w="19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Aucune</w:t>
            </w:r>
          </w:p>
        </w:tc>
      </w:tr>
    </w:tbl>
    <w:p>
      <w:pPr>
        <w:spacing w:after="0"/>
      </w:pPr>
    </w:p>
    <w:p>
      <w:pPr>
        <w:pBdr>
          <w:left w:val="single" w:sz="36" w:space="8" w:color="2E75B6"/>
        </w:pBdr>
        <w:shd w:val="clear" w:color="auto" w:fill="EAF2FB"/>
        <w:spacing w:before="120" w:after="140" w:line="276" w:lineRule="auto"/>
        <w:ind w:left="140"/>
      </w:pPr>
      <w:r>
        <w:rPr>
          <w:b/>
          <w:caps/>
          <w:color w:val="245D92"/>
          <w:sz w:val="17"/>
          <w:szCs w:val="17"/>
        </w:rPr>
        <w:t xml:space="preserve">Note   </w:t>
      </w:r>
      <w:r>
        <w:rPr>
          <w:b/>
          <w:color w:val="1F2A37"/>
          <w:sz w:val="21"/>
          <w:szCs w:val="21"/>
        </w:rPr>
        <w:t xml:space="preserve">VLAN 99. </w:t>
      </w:r>
      <w:r>
        <w:rPr>
          <w:color w:val="1F4972"/>
          <w:sz w:val="21"/>
          <w:szCs w:val="21"/>
        </w:rPr>
        <w:t xml:space="preserve">Le VLAN de cluster n’est volontairement présent ni sur le trunk du pare-feu, ni sous forme de sous-interface. Le trafic de synchronisation entre hyperviseurs ne doit jamais traverser le pare-feu : il reste commuté localement.</w:t>
      </w:r>
    </w:p>
    <w:p>
      <w:pPr>
        <w:keepNext/>
        <w:spacing w:before="200" w:after="70"/>
      </w:pPr>
      <w:r>
        <w:rPr>
          <w:b/>
          <w:color w:val="245D92"/>
          <w:sz w:val="23"/>
          <w:szCs w:val="23"/>
        </w:rPr>
        <w:t xml:space="preserve">Étapes</w:t>
      </w:r>
    </w:p>
    <w:p>
      <w:pPr>
        <w:keepNext/>
        <w:spacing w:before="240" w:after="40"/>
        <w:ind w:left="420" w:hanging="420"/>
      </w:pPr>
      <w:r>
        <w:rPr>
          <w:b/>
          <w:color w:val="2E75B6"/>
          <w:sz w:val="23"/>
          <w:szCs w:val="23"/>
        </w:rPr>
        <w:t xml:space="preserve">1.   </w:t>
      </w:r>
      <w:r>
        <w:rPr>
          <w:b/>
          <w:color w:val="1F2A37"/>
          <w:sz w:val="23"/>
          <w:szCs w:val="23"/>
        </w:rPr>
        <w:t xml:space="preserve">Prise en main par console série</w:t>
      </w:r>
    </w:p>
    <w:p>
      <w:pPr>
        <w:spacing w:before="0" w:after="110" w:line="276" w:lineRule="auto"/>
        <w:ind w:left="420"/>
      </w:pPr>
      <w:r>
        <w:rPr>
          <w:color w:val="41505F"/>
          <w:sz w:val="22"/>
          <w:szCs w:val="22"/>
        </w:rPr>
        <w:t xml:space="preserve">Raccorder la console et ouvrir une session. Un pare-feu sortant d’usine ou remis à zéro présente un interpréteur système et non l’interface Junos ; la commande cli bascule dans l’interface de commande.</w:t>
      </w:r>
    </w:p>
    <w:p>
      <w:pPr>
        <w:shd w:val="clear" w:color="auto" w:fill="0F1722"/>
        <w:spacing w:before="60" w:after="140"/>
        <w:ind w:left="420"/>
      </w:pPr>
      <w:r>
        <w:rPr>
          <w:rFonts w:ascii="Consolas" w:hAnsi="Consolas" w:cs="Consolas"/>
          <w:color w:val="7F93A8"/>
          <w:sz w:val="20"/>
          <w:szCs w:val="20"/>
        </w:rPr>
        <w:t xml:space="preserve"># depuis l’invite root@% (interpréteur système)</w:t>
      </w:r>
      <w:r>
        <w:br/>
      </w:r>
      <w:r>
        <w:rPr>
          <w:rFonts w:ascii="Consolas" w:hAnsi="Consolas" w:cs="Consolas"/>
          <w:color w:val="D7E3F2"/>
          <w:sz w:val="20"/>
          <w:szCs w:val="20"/>
        </w:rPr>
        <w:t xml:space="preserve">cli</w:t>
      </w:r>
      <w:r>
        <w:br/>
      </w:r>
      <w:r>
        <w:rPr>
          <w:rFonts w:ascii="Consolas" w:hAnsi="Consolas" w:cs="Consolas"/>
          <w:color w:val="7F93A8"/>
          <w:sz w:val="20"/>
          <w:szCs w:val="20"/>
        </w:rPr>
        <w:t xml:space="preserve"># état des lieux avant toute modification</w:t>
      </w:r>
      <w:r>
        <w:br/>
      </w:r>
      <w:r>
        <w:rPr>
          <w:rFonts w:ascii="Consolas" w:hAnsi="Consolas" w:cs="Consolas"/>
          <w:color w:val="D7E3F2"/>
          <w:sz w:val="20"/>
          <w:szCs w:val="20"/>
        </w:rPr>
        <w:t xml:space="preserve">show version</w:t>
      </w:r>
      <w:r>
        <w:br/>
      </w:r>
      <w:r>
        <w:rPr>
          <w:rFonts w:ascii="Consolas" w:hAnsi="Consolas" w:cs="Consolas"/>
          <w:color w:val="D7E3F2"/>
          <w:sz w:val="20"/>
          <w:szCs w:val="20"/>
        </w:rPr>
        <w:t xml:space="preserve">show chassis hardware</w:t>
      </w:r>
      <w:r>
        <w:br/>
      </w:r>
      <w:r>
        <w:rPr>
          <w:rFonts w:ascii="Consolas" w:hAnsi="Consolas" w:cs="Consolas"/>
          <w:color w:val="D7E3F2"/>
          <w:sz w:val="20"/>
          <w:szCs w:val="20"/>
        </w:rPr>
        <w:t xml:space="preserve">show system license</w:t>
      </w:r>
      <w:r>
        <w:br/>
      </w:r>
      <w:r>
        <w:rPr>
          <w:rFonts w:ascii="Consolas" w:hAnsi="Consolas" w:cs="Consolas"/>
          <w:color w:val="D7E3F2"/>
          <w:sz w:val="20"/>
          <w:szCs w:val="20"/>
        </w:rPr>
        <w:t xml:space="preserve">show configuration | display set | no-more</w:t>
      </w:r>
      <w:r>
        <w:br/>
      </w:r>
      <w:r>
        <w:rPr>
          <w:rFonts w:ascii="Consolas" w:hAnsi="Consolas" w:cs="Consolas"/>
          <w:color w:val="D7E3F2"/>
          <w:sz w:val="20"/>
          <w:szCs w:val="20"/>
        </w:rPr>
        <w:t xml:space="preserve">show interfaces terse</w:t>
      </w:r>
    </w:p>
    <w:p>
      <w:pPr>
        <w:spacing w:before="0" w:after="110" w:line="276" w:lineRule="auto"/>
        <w:ind w:left="420"/>
      </w:pPr>
      <w:r>
        <w:rPr>
          <w:color w:val="41505F"/>
          <w:sz w:val="22"/>
          <w:szCs w:val="22"/>
        </w:rPr>
        <w:t xml:space="preserve">Relever le modèle, la version, l’inventaire des ports et les licences présentes. Ces éléments conditionnent les fonctions réellement utilisables et la syntaxe applicable.</w:t>
      </w:r>
    </w:p>
    <w:p>
      <w:pPr>
        <w:pBdr>
          <w:left w:val="single" w:sz="36" w:space="8" w:color="2E75B6"/>
        </w:pBdr>
        <w:shd w:val="clear" w:color="auto" w:fill="EAF2FB"/>
        <w:spacing w:before="120" w:after="140" w:line="276" w:lineRule="auto"/>
        <w:ind w:left="140"/>
      </w:pPr>
      <w:r>
        <w:rPr>
          <w:b/>
          <w:caps/>
          <w:color w:val="245D92"/>
          <w:sz w:val="17"/>
          <w:szCs w:val="17"/>
        </w:rPr>
        <w:t xml:space="preserve">Note   </w:t>
      </w:r>
      <w:r>
        <w:rPr>
          <w:b/>
          <w:color w:val="1F2A37"/>
          <w:sz w:val="21"/>
          <w:szCs w:val="21"/>
        </w:rPr>
        <w:t xml:space="preserve">Distinguer les deux modes. </w:t>
      </w:r>
      <w:r>
        <w:rPr>
          <w:color w:val="1F4972"/>
          <w:sz w:val="21"/>
          <w:szCs w:val="21"/>
        </w:rPr>
        <w:t xml:space="preserve">L’invite « &gt; » correspond au mode opérationnel : seules les commandes show, ping, request y sont acceptées. L’invite « # » correspond au mode configuration, seul endroit où les commandes set, delete et commit sont valides. On passe de l’un à l’autre par configure et exit.</w:t>
      </w:r>
    </w:p>
    <w:p>
      <w:pPr>
        <w:keepNext/>
        <w:spacing w:before="240" w:after="40"/>
        <w:ind w:left="420" w:hanging="420"/>
      </w:pPr>
      <w:r>
        <w:rPr>
          <w:b/>
          <w:color w:val="2E75B6"/>
          <w:sz w:val="23"/>
          <w:szCs w:val="23"/>
        </w:rPr>
        <w:t xml:space="preserve">2.   </w:t>
      </w:r>
      <w:r>
        <w:rPr>
          <w:b/>
          <w:color w:val="1F2A37"/>
          <w:sz w:val="23"/>
          <w:szCs w:val="23"/>
        </w:rPr>
        <w:t xml:space="preserve">Remise à zéro de la configuration d’usine</w:t>
      </w:r>
    </w:p>
    <w:p>
      <w:pPr>
        <w:spacing w:before="0" w:after="110" w:line="276" w:lineRule="auto"/>
        <w:ind w:left="420"/>
      </w:pPr>
      <w:r>
        <w:rPr>
          <w:color w:val="41505F"/>
          <w:sz w:val="22"/>
          <w:szCs w:val="22"/>
        </w:rPr>
        <w:t xml:space="preserve">Repartir d’un état connu. La remise à zéro efface la configuration, les journaux, les clés d’hôte SSH et le mot de passe root, puis redémarre l’équipement.</w:t>
      </w:r>
    </w:p>
    <w:p>
      <w:pPr>
        <w:shd w:val="clear" w:color="auto" w:fill="0F1722"/>
        <w:spacing w:before="60" w:after="140"/>
        <w:ind w:left="420"/>
      </w:pPr>
      <w:r>
        <w:rPr>
          <w:rFonts w:ascii="Consolas" w:hAnsi="Consolas" w:cs="Consolas"/>
          <w:color w:val="7F93A8"/>
          <w:sz w:val="20"/>
          <w:szCs w:val="20"/>
        </w:rPr>
        <w:t xml:space="preserve"># mode opérationnel — efface tout et redémarre</w:t>
      </w:r>
      <w:r>
        <w:br/>
      </w:r>
      <w:r>
        <w:rPr>
          <w:rFonts w:ascii="Consolas" w:hAnsi="Consolas" w:cs="Consolas"/>
          <w:color w:val="D7E3F2"/>
          <w:sz w:val="20"/>
          <w:szCs w:val="20"/>
        </w:rPr>
        <w:t xml:space="preserve">request system zeroize</w:t>
      </w:r>
    </w:p>
    <w:p>
      <w:pPr>
        <w:pBdr>
          <w:left w:val="single" w:sz="36" w:space="8" w:color="A9710F"/>
        </w:pBdr>
        <w:shd w:val="clear" w:color="auto" w:fill="FBF2E3"/>
        <w:spacing w:before="120" w:after="140" w:line="276" w:lineRule="auto"/>
        <w:ind w:left="140"/>
      </w:pPr>
      <w:r>
        <w:rPr>
          <w:b/>
          <w:caps/>
          <w:color w:val="A9710F"/>
          <w:sz w:val="17"/>
          <w:szCs w:val="17"/>
        </w:rPr>
        <w:t xml:space="preserve">Attention   </w:t>
      </w:r>
      <w:r>
        <w:rPr>
          <w:b/>
          <w:color w:val="1F2A37"/>
          <w:sz w:val="21"/>
          <w:szCs w:val="21"/>
        </w:rPr>
        <w:t xml:space="preserve">Opération destructive. </w:t>
      </w:r>
      <w:r>
        <w:rPr>
          <w:color w:val="7A5409"/>
          <w:sz w:val="21"/>
          <w:szCs w:val="21"/>
        </w:rPr>
        <w:t xml:space="preserve">La remise à zéro est irréversible et coupe immédiatement tout accès réseau. Elle ne s’effectue que par la console série, jamais à distance. Le bouton de réinitialisation matérielle produit le même résultat.</w:t>
      </w:r>
    </w:p>
    <w:p>
      <w:pPr>
        <w:keepNext/>
        <w:spacing w:before="240" w:after="40"/>
        <w:ind w:left="420" w:hanging="420"/>
      </w:pPr>
      <w:r>
        <w:rPr>
          <w:b/>
          <w:color w:val="2E75B6"/>
          <w:sz w:val="23"/>
          <w:szCs w:val="23"/>
        </w:rPr>
        <w:t xml:space="preserve">3.   </w:t>
      </w:r>
      <w:r>
        <w:rPr>
          <w:b/>
          <w:color w:val="1F2A37"/>
          <w:sz w:val="23"/>
          <w:szCs w:val="23"/>
        </w:rPr>
        <w:t xml:space="preserve">Définition du mot de passe root</w:t>
      </w:r>
    </w:p>
    <w:p>
      <w:pPr>
        <w:spacing w:before="0" w:after="110" w:line="276" w:lineRule="auto"/>
        <w:ind w:left="420"/>
      </w:pPr>
      <w:r>
        <w:rPr>
          <w:color w:val="41505F"/>
          <w:sz w:val="22"/>
          <w:szCs w:val="22"/>
        </w:rPr>
        <w:t xml:space="preserve">Junos refuse tout commit tant que le compte root n’a pas de mot de passe. C’est donc la première commande de configuration.</w:t>
      </w:r>
    </w:p>
    <w:p>
      <w:pPr>
        <w:shd w:val="clear" w:color="auto" w:fill="0F1722"/>
        <w:spacing w:before="60" w:after="140"/>
        <w:ind w:left="420"/>
      </w:pPr>
      <w:r>
        <w:rPr>
          <w:rFonts w:ascii="Consolas" w:hAnsi="Consolas" w:cs="Consolas"/>
          <w:color w:val="7F93A8"/>
          <w:sz w:val="20"/>
          <w:szCs w:val="20"/>
        </w:rPr>
        <w:t xml:space="preserve"># mode opérationnel</w:t>
      </w:r>
      <w:r>
        <w:br/>
      </w:r>
      <w:r>
        <w:rPr>
          <w:rFonts w:ascii="Consolas" w:hAnsi="Consolas" w:cs="Consolas"/>
          <w:color w:val="D7E3F2"/>
          <w:sz w:val="20"/>
          <w:szCs w:val="20"/>
        </w:rPr>
        <w:t xml:space="preserve">configure</w:t>
      </w:r>
      <w:r>
        <w:br/>
      </w:r>
      <w:r>
        <w:rPr>
          <w:rFonts w:ascii="Consolas" w:hAnsi="Consolas" w:cs="Consolas"/>
          <w:color w:val="7F93A8"/>
          <w:sz w:val="20"/>
          <w:szCs w:val="20"/>
        </w:rPr>
        <w:t xml:space="preserve"># invite interactive : saisie du mot de passe deux fois</w:t>
      </w:r>
      <w:r>
        <w:br/>
      </w:r>
      <w:r>
        <w:rPr>
          <w:rFonts w:ascii="Consolas" w:hAnsi="Consolas" w:cs="Consolas"/>
          <w:color w:val="D7E3F2"/>
          <w:sz w:val="20"/>
          <w:szCs w:val="20"/>
        </w:rPr>
        <w:t xml:space="preserve">set system root-authentication plain-text-password</w:t>
      </w:r>
    </w:p>
    <w:p>
      <w:pPr>
        <w:pBdr>
          <w:left w:val="single" w:sz="36" w:space="8" w:color="A9710F"/>
        </w:pBdr>
        <w:shd w:val="clear" w:color="auto" w:fill="FBF2E3"/>
        <w:spacing w:before="120" w:after="140" w:line="276" w:lineRule="auto"/>
        <w:ind w:left="140"/>
      </w:pPr>
      <w:r>
        <w:rPr>
          <w:b/>
          <w:caps/>
          <w:color w:val="A9710F"/>
          <w:sz w:val="17"/>
          <w:szCs w:val="17"/>
        </w:rPr>
        <w:t xml:space="preserve">Attention   </w:t>
      </w:r>
      <w:r>
        <w:rPr>
          <w:b/>
          <w:color w:val="1F2A37"/>
          <w:sz w:val="21"/>
          <w:szCs w:val="21"/>
        </w:rPr>
        <w:t xml:space="preserve">Ne jamais afficher le condensat. </w:t>
      </w:r>
      <w:r>
        <w:rPr>
          <w:color w:val="7A5409"/>
          <w:sz w:val="21"/>
          <w:szCs w:val="21"/>
        </w:rPr>
        <w:t xml:space="preserve">La commande show system expose le champ root-authentication encrypted-password. Ce condensat est attaquable hors ligne : filtrer systématiquement les sorties avant de les copier hors de la session, par exemple avec | except "authentication|password". Un condensat divulgué impose une rotation immédiate du mot de passe.</w:t>
      </w:r>
    </w:p>
    <w:p>
      <w:pPr>
        <w:keepNext/>
        <w:spacing w:before="240" w:after="40"/>
        <w:ind w:left="420" w:hanging="420"/>
      </w:pPr>
      <w:r>
        <w:rPr>
          <w:b/>
          <w:color w:val="2E75B6"/>
          <w:sz w:val="23"/>
          <w:szCs w:val="23"/>
        </w:rPr>
        <w:t xml:space="preserve">4.   </w:t>
      </w:r>
      <w:r>
        <w:rPr>
          <w:b/>
          <w:color w:val="1F2A37"/>
          <w:sz w:val="23"/>
          <w:szCs w:val="23"/>
        </w:rPr>
        <w:t xml:space="preserve">Suppression de la configuration d’usine</w:t>
      </w:r>
    </w:p>
    <w:p>
      <w:pPr>
        <w:spacing w:before="0" w:after="110" w:line="276" w:lineRule="auto"/>
        <w:ind w:left="420"/>
      </w:pPr>
      <w:r>
        <w:rPr>
          <w:color w:val="41505F"/>
          <w:sz w:val="22"/>
          <w:szCs w:val="22"/>
        </w:rPr>
        <w:t xml:space="preserve">La configuration d’usine place les ports en commutation de niveau 2 et active des services superflus. Elle est incompatible avec un usage en routeur : un port ne peut porter à la fois family ethernet-switching et family inet.</w:t>
      </w:r>
    </w:p>
    <w:p>
      <w:pPr>
        <w:shd w:val="clear" w:color="auto" w:fill="0F1722"/>
        <w:spacing w:before="60" w:after="140"/>
        <w:ind w:left="420"/>
      </w:pPr>
      <w:r>
        <w:rPr>
          <w:rFonts w:ascii="Consolas" w:hAnsi="Consolas" w:cs="Consolas"/>
          <w:color w:val="D7E3F2"/>
          <w:sz w:val="20"/>
          <w:szCs w:val="20"/>
        </w:rPr>
        <w:t xml:space="preserve">delete interfaces</w:t>
      </w:r>
      <w:r>
        <w:br/>
      </w:r>
      <w:r>
        <w:rPr>
          <w:rFonts w:ascii="Consolas" w:hAnsi="Consolas" w:cs="Consolas"/>
          <w:color w:val="D7E3F2"/>
          <w:sz w:val="20"/>
          <w:szCs w:val="20"/>
        </w:rPr>
        <w:t xml:space="preserve">delete system autoinstallation</w:t>
      </w:r>
      <w:r>
        <w:br/>
      </w:r>
      <w:r>
        <w:rPr>
          <w:rFonts w:ascii="Consolas" w:hAnsi="Consolas" w:cs="Consolas"/>
          <w:color w:val="D7E3F2"/>
          <w:sz w:val="20"/>
          <w:szCs w:val="20"/>
        </w:rPr>
        <w:t xml:space="preserve">delete system services dhcp-local-server</w:t>
      </w:r>
      <w:r>
        <w:br/>
      </w:r>
      <w:r>
        <w:rPr>
          <w:rFonts w:ascii="Consolas" w:hAnsi="Consolas" w:cs="Consolas"/>
          <w:color w:val="D7E3F2"/>
          <w:sz w:val="20"/>
          <w:szCs w:val="20"/>
        </w:rPr>
        <w:t xml:space="preserve">delete system services telnet</w:t>
      </w:r>
      <w:r>
        <w:br/>
      </w:r>
      <w:r>
        <w:rPr>
          <w:rFonts w:ascii="Consolas" w:hAnsi="Consolas" w:cs="Consolas"/>
          <w:color w:val="D7E3F2"/>
          <w:sz w:val="20"/>
          <w:szCs w:val="20"/>
        </w:rPr>
        <w:t xml:space="preserve">delete system services xnm-clear-text</w:t>
      </w:r>
      <w:r>
        <w:br/>
      </w:r>
      <w:r>
        <w:rPr>
          <w:rFonts w:ascii="Consolas" w:hAnsi="Consolas" w:cs="Consolas"/>
          <w:color w:val="D7E3F2"/>
          <w:sz w:val="20"/>
          <w:szCs w:val="20"/>
        </w:rPr>
        <w:t xml:space="preserve">delete system name-server</w:t>
      </w:r>
      <w:r>
        <w:br/>
      </w:r>
      <w:r>
        <w:rPr>
          <w:rFonts w:ascii="Consolas" w:hAnsi="Consolas" w:cs="Consolas"/>
          <w:color w:val="D7E3F2"/>
          <w:sz w:val="20"/>
          <w:szCs w:val="20"/>
        </w:rPr>
        <w:t xml:space="preserve">delete access address-assignment</w:t>
      </w:r>
      <w:r>
        <w:br/>
      </w:r>
      <w:r>
        <w:rPr>
          <w:rFonts w:ascii="Consolas" w:hAnsi="Consolas" w:cs="Consolas"/>
          <w:color w:val="D7E3F2"/>
          <w:sz w:val="20"/>
          <w:szCs w:val="20"/>
        </w:rPr>
        <w:t xml:space="preserve">delete vlans</w:t>
      </w:r>
      <w:r>
        <w:br/>
      </w:r>
      <w:r>
        <w:rPr>
          <w:rFonts w:ascii="Consolas" w:hAnsi="Consolas" w:cs="Consolas"/>
          <w:color w:val="D7E3F2"/>
          <w:sz w:val="20"/>
          <w:szCs w:val="20"/>
        </w:rPr>
        <w:t xml:space="preserve">delete protocols l2-learning</w:t>
      </w:r>
      <w:r>
        <w:br/>
      </w:r>
      <w:r>
        <w:rPr>
          <w:rFonts w:ascii="Consolas" w:hAnsi="Consolas" w:cs="Consolas"/>
          <w:color w:val="D7E3F2"/>
          <w:sz w:val="20"/>
          <w:szCs w:val="20"/>
        </w:rPr>
        <w:t xml:space="preserve">delete security nat</w:t>
      </w:r>
      <w:r>
        <w:br/>
      </w:r>
      <w:r>
        <w:rPr>
          <w:rFonts w:ascii="Consolas" w:hAnsi="Consolas" w:cs="Consolas"/>
          <w:color w:val="D7E3F2"/>
          <w:sz w:val="20"/>
          <w:szCs w:val="20"/>
        </w:rPr>
        <w:t xml:space="preserve">delete security policies</w:t>
      </w:r>
      <w:r>
        <w:br/>
      </w:r>
      <w:r>
        <w:rPr>
          <w:rFonts w:ascii="Consolas" w:hAnsi="Consolas" w:cs="Consolas"/>
          <w:color w:val="D7E3F2"/>
          <w:sz w:val="20"/>
          <w:szCs w:val="20"/>
        </w:rPr>
        <w:t xml:space="preserve">delete security zones</w:t>
      </w:r>
      <w:r>
        <w:br/>
      </w:r>
      <w:r>
        <w:rPr>
          <w:rFonts w:ascii="Consolas" w:hAnsi="Consolas" w:cs="Consolas"/>
          <w:color w:val="D7E3F2"/>
          <w:sz w:val="20"/>
          <w:szCs w:val="20"/>
        </w:rPr>
        <w:t xml:space="preserve">delete security screen</w:t>
      </w:r>
      <w:r>
        <w:br/>
      </w:r>
      <w:r>
        <w:rPr>
          <w:rFonts w:ascii="Consolas" w:hAnsi="Consolas" w:cs="Consolas"/>
          <w:color w:val="D7E3F2"/>
          <w:sz w:val="20"/>
          <w:szCs w:val="20"/>
        </w:rPr>
        <w:t xml:space="preserve">delete system services web-management</w:t>
      </w:r>
      <w:r>
        <w:br/>
      </w:r>
      <w:r>
        <w:rPr>
          <w:rFonts w:ascii="Consolas" w:hAnsi="Consolas" w:cs="Consolas"/>
          <w:color w:val="D7E3F2"/>
          <w:sz w:val="20"/>
          <w:szCs w:val="20"/>
        </w:rPr>
        <w:t xml:space="preserve">delete system license</w:t>
      </w:r>
    </w:p>
    <w:p>
      <w:pPr>
        <w:spacing w:before="0" w:after="110" w:line="276" w:lineRule="auto"/>
        <w:ind w:left="420"/>
      </w:pPr>
      <w:r>
        <w:rPr>
          <w:color w:val="41505F"/>
          <w:sz w:val="22"/>
          <w:szCs w:val="22"/>
        </w:rPr>
        <w:t xml:space="preserve">La suppression de web-management retire l’interface d’administration web et sa surface d’exposition ; celle de system license supprime les tentatives de récupération automatique de licence vers l’extérieur, sans objet hors contrat de support. Le service NETCONF sur SSH est conservé : il fournit l’interface programmatique utilisée ultérieurement par la supervision.</w:t>
      </w:r>
    </w:p>
    <w:p>
      <w:pPr>
        <w:keepNext/>
        <w:spacing w:before="240" w:after="40"/>
        <w:ind w:left="420" w:hanging="420"/>
      </w:pPr>
      <w:r>
        <w:rPr>
          <w:b/>
          <w:color w:val="2E75B6"/>
          <w:sz w:val="23"/>
          <w:szCs w:val="23"/>
        </w:rPr>
        <w:t xml:space="preserve">5.   </w:t>
      </w:r>
      <w:r>
        <w:rPr>
          <w:b/>
          <w:color w:val="1F2A37"/>
          <w:sz w:val="23"/>
          <w:szCs w:val="23"/>
        </w:rPr>
        <w:t xml:space="preserve">Paramètres système de base</w:t>
      </w:r>
    </w:p>
    <w:p>
      <w:pPr>
        <w:shd w:val="clear" w:color="auto" w:fill="0F1722"/>
        <w:spacing w:before="60" w:after="140"/>
        <w:ind w:left="420"/>
      </w:pPr>
      <w:r>
        <w:rPr>
          <w:rFonts w:ascii="Consolas" w:hAnsi="Consolas" w:cs="Consolas"/>
          <w:color w:val="D7E3F2"/>
          <w:sz w:val="20"/>
          <w:szCs w:val="20"/>
        </w:rPr>
        <w:t xml:space="preserve">set system host-name fw01.adm.dozylab.lan</w:t>
      </w:r>
      <w:r>
        <w:br/>
      </w:r>
      <w:r>
        <w:rPr>
          <w:rFonts w:ascii="Consolas" w:hAnsi="Consolas" w:cs="Consolas"/>
          <w:color w:val="D7E3F2"/>
          <w:sz w:val="20"/>
          <w:szCs w:val="20"/>
        </w:rPr>
        <w:t xml:space="preserve">set system time-zone Europe/Paris</w:t>
      </w:r>
      <w:r>
        <w:br/>
      </w:r>
      <w:r>
        <w:rPr>
          <w:rFonts w:ascii="Consolas" w:hAnsi="Consolas" w:cs="Consolas"/>
          <w:color w:val="D7E3F2"/>
          <w:sz w:val="20"/>
          <w:szCs w:val="20"/>
        </w:rPr>
        <w:t xml:space="preserve">set system services ssh root-login allow</w:t>
      </w:r>
      <w:r>
        <w:br/>
      </w:r>
      <w:r>
        <w:rPr>
          <w:rFonts w:ascii="Consolas" w:hAnsi="Consolas" w:cs="Consolas"/>
          <w:color w:val="D7E3F2"/>
          <w:sz w:val="20"/>
          <w:szCs w:val="20"/>
        </w:rPr>
        <w:t xml:space="preserve">set system services ssh protocol-version v2</w:t>
      </w:r>
      <w:r>
        <w:br/>
      </w:r>
      <w:r>
        <w:rPr>
          <w:rFonts w:ascii="Consolas" w:hAnsi="Consolas" w:cs="Consolas"/>
          <w:color w:val="D7E3F2"/>
          <w:sz w:val="20"/>
          <w:szCs w:val="20"/>
        </w:rPr>
        <w:t xml:space="preserve">set system name-server 9.9.9.9</w:t>
      </w:r>
      <w:r>
        <w:br/>
      </w:r>
      <w:r>
        <w:rPr>
          <w:rFonts w:ascii="Consolas" w:hAnsi="Consolas" w:cs="Consolas"/>
          <w:color w:val="D7E3F2"/>
          <w:sz w:val="20"/>
          <w:szCs w:val="20"/>
        </w:rPr>
        <w:t xml:space="preserve">set system name-server 1.1.1.1</w:t>
      </w:r>
    </w:p>
    <w:p>
      <w:pPr>
        <w:pBdr>
          <w:left w:val="single" w:sz="36" w:space="8" w:color="2E75B6"/>
        </w:pBdr>
        <w:shd w:val="clear" w:color="auto" w:fill="EAF2FB"/>
        <w:spacing w:before="120" w:after="140" w:line="276" w:lineRule="auto"/>
        <w:ind w:left="140"/>
      </w:pPr>
      <w:r>
        <w:rPr>
          <w:b/>
          <w:caps/>
          <w:color w:val="245D92"/>
          <w:sz w:val="17"/>
          <w:szCs w:val="17"/>
        </w:rPr>
        <w:t xml:space="preserve">Note   </w:t>
      </w:r>
      <w:r>
        <w:rPr>
          <w:b/>
          <w:color w:val="1F2A37"/>
          <w:sz w:val="21"/>
          <w:szCs w:val="21"/>
        </w:rPr>
        <w:t xml:space="preserve">Connexion root temporaire. </w:t>
      </w:r>
      <w:r>
        <w:rPr>
          <w:color w:val="1F4972"/>
          <w:sz w:val="21"/>
          <w:szCs w:val="21"/>
        </w:rPr>
        <w:t xml:space="preserve">root-login allow est ouvert uniquement le temps de la configuration initiale, avant la création du compte nominatif à l’étape 13. Il est refermé à cette étape.</w:t>
      </w:r>
    </w:p>
    <w:p>
      <w:pPr>
        <w:pBdr>
          <w:left w:val="single" w:sz="36" w:space="8" w:color="A9710F"/>
        </w:pBdr>
        <w:shd w:val="clear" w:color="auto" w:fill="FBF2E3"/>
        <w:spacing w:before="120" w:after="140" w:line="276" w:lineRule="auto"/>
        <w:ind w:left="140"/>
      </w:pPr>
      <w:r>
        <w:rPr>
          <w:b/>
          <w:caps/>
          <w:color w:val="A9710F"/>
          <w:sz w:val="17"/>
          <w:szCs w:val="17"/>
        </w:rPr>
        <w:t xml:space="preserve">Attention   </w:t>
      </w:r>
      <w:r>
        <w:rPr>
          <w:b/>
          <w:color w:val="1F2A37"/>
          <w:sz w:val="21"/>
          <w:szCs w:val="21"/>
        </w:rPr>
        <w:t xml:space="preserve">Serveur de temps. </w:t>
      </w:r>
      <w:r>
        <w:rPr>
          <w:color w:val="7A5409"/>
          <w:sz w:val="21"/>
          <w:szCs w:val="21"/>
        </w:rPr>
        <w:t xml:space="preserve">La commande set system ntp server résout le nom au moment de la saisie. Sans lien WAN opérationnel, elle échoue avec « could not resolve name » et laisse une entrée vide à supprimer par delete system ntp. La synchronisation horaire est donc reportée après validation du WAN.</w:t>
      </w:r>
    </w:p>
    <w:p>
      <w:pPr>
        <w:keepNext/>
        <w:spacing w:before="240" w:after="40"/>
        <w:ind w:left="420" w:hanging="420"/>
      </w:pPr>
      <w:r>
        <w:rPr>
          <w:b/>
          <w:color w:val="2E75B6"/>
          <w:sz w:val="23"/>
          <w:szCs w:val="23"/>
        </w:rPr>
        <w:t xml:space="preserve">6.   </w:t>
      </w:r>
      <w:r>
        <w:rPr>
          <w:b/>
          <w:color w:val="1F2A37"/>
          <w:sz w:val="23"/>
          <w:szCs w:val="23"/>
        </w:rPr>
        <w:t xml:space="preserve">Interface trunk et sous-interfaces de VLAN</w:t>
      </w:r>
    </w:p>
    <w:p>
      <w:pPr>
        <w:spacing w:before="0" w:after="110" w:line="276" w:lineRule="auto"/>
        <w:ind w:left="420"/>
      </w:pPr>
      <w:r>
        <w:rPr>
          <w:color w:val="41505F"/>
          <w:sz w:val="22"/>
          <w:szCs w:val="22"/>
        </w:rPr>
        <w:t xml:space="preserve">Un port physique unique porte tous les VLAN routés vers le commutateur. Chaque VLAN devient une sous-interface étiquetée portant l’adresse de passerelle du sous-réseau.</w:t>
      </w:r>
    </w:p>
    <w:p>
      <w:pPr>
        <w:shd w:val="clear" w:color="auto" w:fill="0F1722"/>
        <w:spacing w:before="60" w:after="140"/>
        <w:ind w:left="420"/>
      </w:pPr>
      <w:r>
        <w:rPr>
          <w:rFonts w:ascii="Consolas" w:hAnsi="Consolas" w:cs="Consolas"/>
          <w:color w:val="D7E3F2"/>
          <w:sz w:val="20"/>
          <w:szCs w:val="20"/>
        </w:rPr>
        <w:t xml:space="preserve">set interfaces ge-0/0/1 vlan-tagging</w:t>
      </w:r>
      <w:r>
        <w:br/>
      </w:r>
      <w:r>
        <w:rPr>
          <w:rFonts w:ascii="Consolas" w:hAnsi="Consolas" w:cs="Consolas"/>
          <w:color w:val="D7E3F2"/>
          <w:sz w:val="20"/>
          <w:szCs w:val="20"/>
        </w:rPr>
        <w:t xml:space="preserve">set interfaces ge-0/0/1 mtu 1522</w:t>
      </w:r>
      <w:r>
        <w:br/>
      </w:r>
      <w:r>
        <w:rPr>
          <w:rFonts w:ascii="Consolas" w:hAnsi="Consolas" w:cs="Consolas"/>
          <w:color w:val="D7E3F2"/>
          <w:sz w:val="20"/>
          <w:szCs w:val="20"/>
        </w:rPr>
        <w:t xml:space="preserve">set interfaces ge-0/0/1 unit 10 vlan-id 10</w:t>
      </w:r>
      <w:r>
        <w:br/>
      </w:r>
      <w:r>
        <w:rPr>
          <w:rFonts w:ascii="Consolas" w:hAnsi="Consolas" w:cs="Consolas"/>
          <w:color w:val="D7E3F2"/>
          <w:sz w:val="20"/>
          <w:szCs w:val="20"/>
        </w:rPr>
        <w:t xml:space="preserve">set interfaces ge-0/0/1 unit 10 family inet address 10.10.10.254/24</w:t>
      </w:r>
      <w:r>
        <w:br/>
      </w:r>
      <w:r>
        <w:rPr>
          <w:rFonts w:ascii="Consolas" w:hAnsi="Consolas" w:cs="Consolas"/>
          <w:color w:val="D7E3F2"/>
          <w:sz w:val="20"/>
          <w:szCs w:val="20"/>
        </w:rPr>
        <w:t xml:space="preserve">set interfaces ge-0/0/1 unit 10 description "VLAN 10 ADM"</w:t>
      </w:r>
      <w:r>
        <w:br/>
      </w:r>
      <w:r>
        <w:rPr>
          <w:rFonts w:ascii="Consolas" w:hAnsi="Consolas" w:cs="Consolas"/>
          <w:color w:val="7F93A8"/>
          <w:sz w:val="20"/>
          <w:szCs w:val="20"/>
        </w:rPr>
        <w:t xml:space="preserve"># répéter pour 20, 30, 40, 50, 60, 70, 80 —</w:t>
      </w:r>
      <w:r>
        <w:br/>
      </w:r>
      <w:r>
        <w:rPr>
          <w:rFonts w:ascii="Consolas" w:hAnsi="Consolas" w:cs="Consolas"/>
          <w:color w:val="7F93A8"/>
          <w:sz w:val="20"/>
          <w:szCs w:val="20"/>
        </w:rPr>
        <w:t xml:space="preserve"># unit N, vlan-id N, adresse 10.10.N.254/24, description</w:t>
      </w:r>
    </w:p>
    <w:p>
      <w:pPr>
        <w:spacing w:before="0" w:after="110" w:line="276" w:lineRule="auto"/>
        <w:ind w:left="420"/>
      </w:pPr>
      <w:r>
        <w:rPr>
          <w:color w:val="41505F"/>
          <w:sz w:val="22"/>
          <w:szCs w:val="22"/>
        </w:rPr>
        <w:t xml:space="preserve">La valeur de MTU du port physique intègre les quatre octets de l’étiquette 802.1Q et l’en-tête de niveau 2, afin que les sous-interfaces conservent une charge utile de 1500 octets.</w:t>
      </w:r>
    </w:p>
    <w:p>
      <w:pPr>
        <w:pBdr>
          <w:left w:val="single" w:sz="36" w:space="8" w:color="A9710F"/>
        </w:pBdr>
        <w:shd w:val="clear" w:color="auto" w:fill="FBF2E3"/>
        <w:spacing w:before="120" w:after="140" w:line="276" w:lineRule="auto"/>
        <w:ind w:left="140"/>
      </w:pPr>
      <w:r>
        <w:rPr>
          <w:b/>
          <w:caps/>
          <w:color w:val="A9710F"/>
          <w:sz w:val="17"/>
          <w:szCs w:val="17"/>
        </w:rPr>
        <w:t xml:space="preserve">Attention   </w:t>
      </w:r>
      <w:r>
        <w:rPr>
          <w:b/>
          <w:color w:val="1F2A37"/>
          <w:sz w:val="21"/>
          <w:szCs w:val="21"/>
        </w:rPr>
        <w:t xml:space="preserve">Console série et blocs longs. </w:t>
      </w:r>
      <w:r>
        <w:rPr>
          <w:color w:val="7A5409"/>
          <w:sz w:val="21"/>
          <w:szCs w:val="21"/>
        </w:rPr>
        <w:t xml:space="preserve">Un collage de plus d’une dizaine de lignes sature le tampon du terminal série : les lignes se concatènent et des commandes disparaissent sans erreur visible. Coller par tranches courtes, puis vérifier le nombre de lignes réellement enregistré avec show interfaces ge-0/0/1 | display set | count — vingt-six lignes attendues.</w:t>
      </w:r>
    </w:p>
    <w:p>
      <w:pPr>
        <w:keepNext/>
        <w:spacing w:before="240" w:after="40"/>
        <w:ind w:left="420" w:hanging="420"/>
      </w:pPr>
      <w:r>
        <w:rPr>
          <w:b/>
          <w:color w:val="2E75B6"/>
          <w:sz w:val="23"/>
          <w:szCs w:val="23"/>
        </w:rPr>
        <w:t xml:space="preserve">7.   </w:t>
      </w:r>
      <w:r>
        <w:rPr>
          <w:b/>
          <w:color w:val="1F2A37"/>
          <w:sz w:val="23"/>
          <w:szCs w:val="23"/>
        </w:rPr>
        <w:t xml:space="preserve">Zones de sécurité</w:t>
      </w:r>
    </w:p>
    <w:p>
      <w:pPr>
        <w:spacing w:before="0" w:after="110" w:line="276" w:lineRule="auto"/>
        <w:ind w:left="420"/>
      </w:pPr>
      <w:r>
        <w:rPr>
          <w:color w:val="41505F"/>
          <w:sz w:val="22"/>
          <w:szCs w:val="22"/>
        </w:rPr>
        <w:t xml:space="preserve">Chaque VLAN devient une zone. Les services déclarés en host-inbound-traffic concernent le trafic destiné au pare-feu lui-même, pas le trafic qui le traverse : sans dhcp, aucun bail n’est distribué ; sans dns, le relais ne répond pas.</w:t>
      </w:r>
    </w:p>
    <w:p>
      <w:pPr>
        <w:shd w:val="clear" w:color="auto" w:fill="0F1722"/>
        <w:spacing w:before="60" w:after="140"/>
        <w:ind w:left="420"/>
      </w:pPr>
      <w:r>
        <w:rPr>
          <w:rFonts w:ascii="Consolas" w:hAnsi="Consolas" w:cs="Consolas"/>
          <w:color w:val="D7E3F2"/>
          <w:sz w:val="20"/>
          <w:szCs w:val="20"/>
        </w:rPr>
        <w:t xml:space="preserve">set security zones security-zone adm interfaces ge-0/0/1.10 host-inbound-traffic system-services ssh</w:t>
      </w:r>
      <w:r>
        <w:br/>
      </w:r>
      <w:r>
        <w:rPr>
          <w:rFonts w:ascii="Consolas" w:hAnsi="Consolas" w:cs="Consolas"/>
          <w:color w:val="D7E3F2"/>
          <w:sz w:val="20"/>
          <w:szCs w:val="20"/>
        </w:rPr>
        <w:t xml:space="preserve">set security zones security-zone adm interfaces ge-0/0/1.10 host-inbound-traffic system-services ping</w:t>
      </w:r>
      <w:r>
        <w:br/>
      </w:r>
      <w:r>
        <w:rPr>
          <w:rFonts w:ascii="Consolas" w:hAnsi="Consolas" w:cs="Consolas"/>
          <w:color w:val="D7E3F2"/>
          <w:sz w:val="20"/>
          <w:szCs w:val="20"/>
        </w:rPr>
        <w:t xml:space="preserve">set security zones security-zone adm interfaces ge-0/0/1.10 host-inbound-traffic system-services dhcp</w:t>
      </w:r>
      <w:r>
        <w:br/>
      </w:r>
      <w:r>
        <w:rPr>
          <w:rFonts w:ascii="Consolas" w:hAnsi="Consolas" w:cs="Consolas"/>
          <w:color w:val="D7E3F2"/>
          <w:sz w:val="20"/>
          <w:szCs w:val="20"/>
        </w:rPr>
        <w:t xml:space="preserve">set security zones security-zone adm interfaces ge-0/0/1.10 host-inbound-traffic system-services dns</w:t>
      </w:r>
      <w:r>
        <w:br/>
      </w:r>
      <w:r>
        <w:rPr>
          <w:rFonts w:ascii="Consolas" w:hAnsi="Consolas" w:cs="Consolas"/>
          <w:color w:val="7F93A8"/>
          <w:sz w:val="20"/>
          <w:szCs w:val="20"/>
        </w:rPr>
        <w:t xml:space="preserve"># srv, dmz, cli, dep, lab : ping, dhcp, dns</w:t>
      </w:r>
      <w:r>
        <w:br/>
      </w:r>
      <w:r>
        <w:rPr>
          <w:rFonts w:ascii="Consolas" w:hAnsi="Consolas" w:cs="Consolas"/>
          <w:color w:val="7F93A8"/>
          <w:sz w:val="20"/>
          <w:szCs w:val="20"/>
        </w:rPr>
        <w:t xml:space="preserve"># voip : ping, dhcp — wfi : dhcp, dns</w:t>
      </w:r>
    </w:p>
    <w:p>
      <w:pPr>
        <w:pBdr>
          <w:left w:val="single" w:sz="36" w:space="8" w:color="2E75B6"/>
        </w:pBdr>
        <w:shd w:val="clear" w:color="auto" w:fill="EAF2FB"/>
        <w:spacing w:before="120" w:after="140" w:line="276" w:lineRule="auto"/>
        <w:ind w:left="140"/>
      </w:pPr>
      <w:r>
        <w:rPr>
          <w:b/>
          <w:caps/>
          <w:color w:val="245D92"/>
          <w:sz w:val="17"/>
          <w:szCs w:val="17"/>
        </w:rPr>
        <w:t xml:space="preserve">Note   </w:t>
      </w:r>
      <w:r>
        <w:rPr>
          <w:b/>
          <w:color w:val="1F2A37"/>
          <w:sz w:val="21"/>
          <w:szCs w:val="21"/>
        </w:rPr>
        <w:t xml:space="preserve">Administration restreinte. </w:t>
      </w:r>
      <w:r>
        <w:rPr>
          <w:color w:val="1F4972"/>
          <w:sz w:val="21"/>
          <w:szCs w:val="21"/>
        </w:rPr>
        <w:t xml:space="preserve">Le service ssh n’est déclaré que sur la zone d’administration. Aucun autre VLAN ne peut ouvrir de session sur le pare-feu, y compris en cas de politique permissive.</w:t>
      </w:r>
    </w:p>
    <w:p>
      <w:pPr>
        <w:keepNext/>
        <w:spacing w:before="240" w:after="40"/>
        <w:ind w:left="420" w:hanging="420"/>
      </w:pPr>
      <w:r>
        <w:rPr>
          <w:b/>
          <w:color w:val="2E75B6"/>
          <w:sz w:val="23"/>
          <w:szCs w:val="23"/>
        </w:rPr>
        <w:t xml:space="preserve">8.   </w:t>
      </w:r>
      <w:r>
        <w:rPr>
          <w:b/>
          <w:color w:val="1F2A37"/>
          <w:sz w:val="23"/>
          <w:szCs w:val="23"/>
        </w:rPr>
        <w:t xml:space="preserve">Carnet d’adresses global</w:t>
      </w:r>
    </w:p>
    <w:p>
      <w:pPr>
        <w:spacing w:before="0" w:after="110" w:line="276" w:lineRule="auto"/>
        <w:ind w:left="420"/>
      </w:pPr>
      <w:r>
        <w:rPr>
          <w:color w:val="41505F"/>
          <w:sz w:val="22"/>
          <w:szCs w:val="22"/>
        </w:rPr>
        <w:t xml:space="preserve">Nommer les sous-réseaux une seule fois évite les adresses en dur dans les politiques et rend la matrice de flux relisible.</w:t>
      </w:r>
    </w:p>
    <w:p>
      <w:pPr>
        <w:shd w:val="clear" w:color="auto" w:fill="0F1722"/>
        <w:spacing w:before="60" w:after="140"/>
        <w:ind w:left="420"/>
      </w:pPr>
      <w:r>
        <w:rPr>
          <w:rFonts w:ascii="Consolas" w:hAnsi="Consolas" w:cs="Consolas"/>
          <w:color w:val="D7E3F2"/>
          <w:sz w:val="20"/>
          <w:szCs w:val="20"/>
        </w:rPr>
        <w:t xml:space="preserve">set security address-book global address net-adm  10.10.10.0/24</w:t>
      </w:r>
      <w:r>
        <w:br/>
      </w:r>
      <w:r>
        <w:rPr>
          <w:rFonts w:ascii="Consolas" w:hAnsi="Consolas" w:cs="Consolas"/>
          <w:color w:val="D7E3F2"/>
          <w:sz w:val="20"/>
          <w:szCs w:val="20"/>
        </w:rPr>
        <w:t xml:space="preserve">set security address-book global address net-srv  10.10.20.0/24</w:t>
      </w:r>
      <w:r>
        <w:br/>
      </w:r>
      <w:r>
        <w:rPr>
          <w:rFonts w:ascii="Consolas" w:hAnsi="Consolas" w:cs="Consolas"/>
          <w:color w:val="7F93A8"/>
          <w:sz w:val="20"/>
          <w:szCs w:val="20"/>
        </w:rPr>
        <w:t xml:space="preserve"># net-dmz, net-cli, net-voip, net-dep, net-wfi, net-lab :</w:t>
      </w:r>
      <w:r>
        <w:br/>
      </w:r>
      <w:r>
        <w:rPr>
          <w:rFonts w:ascii="Consolas" w:hAnsi="Consolas" w:cs="Consolas"/>
          <w:color w:val="7F93A8"/>
          <w:sz w:val="20"/>
          <w:szCs w:val="20"/>
        </w:rPr>
        <w:t xml:space="preserve"># même forme, sous-réseau correspondant</w:t>
      </w:r>
    </w:p>
    <w:p>
      <w:pPr>
        <w:keepNext/>
        <w:spacing w:before="240" w:after="40"/>
        <w:ind w:left="420" w:hanging="420"/>
      </w:pPr>
      <w:r>
        <w:rPr>
          <w:b/>
          <w:color w:val="2E75B6"/>
          <w:sz w:val="23"/>
          <w:szCs w:val="23"/>
        </w:rPr>
        <w:t xml:space="preserve">9.   </w:t>
      </w:r>
      <w:r>
        <w:rPr>
          <w:b/>
          <w:color w:val="1F2A37"/>
          <w:sz w:val="23"/>
          <w:szCs w:val="23"/>
        </w:rPr>
        <w:t xml:space="preserve">Politiques inter-VLAN et intra-zone</w:t>
      </w:r>
    </w:p>
    <w:p>
      <w:pPr>
        <w:spacing w:before="0" w:after="110" w:line="276" w:lineRule="auto"/>
        <w:ind w:left="420"/>
      </w:pPr>
      <w:r>
        <w:rPr>
          <w:color w:val="41505F"/>
          <w:sz w:val="22"/>
          <w:szCs w:val="22"/>
        </w:rPr>
        <w:t xml:space="preserve">Junos bloque par défaut tout trafic entre zones et à l’intérieur d’une même zone. Deux familles de politiques sont donc nécessaires : les autorisations sortantes depuis la zone d’administration, et les autorisations internes aux VLAN dont les hôtes doivent communiquer entre eux.</w:t>
      </w:r>
    </w:p>
    <w:p>
      <w:pPr>
        <w:shd w:val="clear" w:color="auto" w:fill="0F1722"/>
        <w:spacing w:before="60" w:after="140"/>
        <w:ind w:left="420"/>
      </w:pPr>
      <w:r>
        <w:rPr>
          <w:rFonts w:ascii="Consolas" w:hAnsi="Consolas" w:cs="Consolas"/>
          <w:color w:val="7F93A8"/>
          <w:sz w:val="20"/>
          <w:szCs w:val="20"/>
        </w:rPr>
        <w:t xml:space="preserve"># autorisation depuis l’administration vers un VLAN</w:t>
      </w:r>
      <w:r>
        <w:br/>
      </w:r>
      <w:r>
        <w:rPr>
          <w:rFonts w:ascii="Consolas" w:hAnsi="Consolas" w:cs="Consolas"/>
          <w:color w:val="D7E3F2"/>
          <w:sz w:val="20"/>
          <w:szCs w:val="20"/>
        </w:rPr>
        <w:t xml:space="preserve">set security policies from-zone adm to-zone srv policy p-adm-to-srv match source-address net-adm</w:t>
      </w:r>
      <w:r>
        <w:br/>
      </w:r>
      <w:r>
        <w:rPr>
          <w:rFonts w:ascii="Consolas" w:hAnsi="Consolas" w:cs="Consolas"/>
          <w:color w:val="D7E3F2"/>
          <w:sz w:val="20"/>
          <w:szCs w:val="20"/>
        </w:rPr>
        <w:t xml:space="preserve">set security policies from-zone adm to-zone srv policy p-adm-to-srv match destination-address net-srv</w:t>
      </w:r>
      <w:r>
        <w:br/>
      </w:r>
      <w:r>
        <w:rPr>
          <w:rFonts w:ascii="Consolas" w:hAnsi="Consolas" w:cs="Consolas"/>
          <w:color w:val="D7E3F2"/>
          <w:sz w:val="20"/>
          <w:szCs w:val="20"/>
        </w:rPr>
        <w:t xml:space="preserve">set security policies from-zone adm to-zone srv policy p-adm-to-srv match application any</w:t>
      </w:r>
      <w:r>
        <w:br/>
      </w:r>
      <w:r>
        <w:rPr>
          <w:rFonts w:ascii="Consolas" w:hAnsi="Consolas" w:cs="Consolas"/>
          <w:color w:val="D7E3F2"/>
          <w:sz w:val="20"/>
          <w:szCs w:val="20"/>
        </w:rPr>
        <w:t xml:space="preserve">set security policies from-zone adm to-zone srv policy p-adm-to-srv then permit</w:t>
      </w:r>
      <w:r>
        <w:br/>
      </w:r>
      <w:r>
        <w:rPr>
          <w:rFonts w:ascii="Consolas" w:hAnsi="Consolas" w:cs="Consolas"/>
          <w:color w:val="7F93A8"/>
          <w:sz w:val="20"/>
          <w:szCs w:val="20"/>
        </w:rPr>
        <w:t xml:space="preserve"># autorisation interne à un VLAN</w:t>
      </w:r>
      <w:r>
        <w:br/>
      </w:r>
      <w:r>
        <w:rPr>
          <w:rFonts w:ascii="Consolas" w:hAnsi="Consolas" w:cs="Consolas"/>
          <w:color w:val="D7E3F2"/>
          <w:sz w:val="20"/>
          <w:szCs w:val="20"/>
        </w:rPr>
        <w:t xml:space="preserve">set security policies from-zone srv to-zone srv policy p-intra-srv match source-address net-srv</w:t>
      </w:r>
      <w:r>
        <w:br/>
      </w:r>
      <w:r>
        <w:rPr>
          <w:rFonts w:ascii="Consolas" w:hAnsi="Consolas" w:cs="Consolas"/>
          <w:color w:val="D7E3F2"/>
          <w:sz w:val="20"/>
          <w:szCs w:val="20"/>
        </w:rPr>
        <w:t xml:space="preserve">set security policies from-zone srv to-zone srv policy p-intra-srv match destination-address net-srv</w:t>
      </w:r>
      <w:r>
        <w:br/>
      </w:r>
      <w:r>
        <w:rPr>
          <w:rFonts w:ascii="Consolas" w:hAnsi="Consolas" w:cs="Consolas"/>
          <w:color w:val="D7E3F2"/>
          <w:sz w:val="20"/>
          <w:szCs w:val="20"/>
        </w:rPr>
        <w:t xml:space="preserve">set security policies from-zone srv to-zone srv policy p-intra-srv match application any</w:t>
      </w:r>
      <w:r>
        <w:br/>
      </w:r>
      <w:r>
        <w:rPr>
          <w:rFonts w:ascii="Consolas" w:hAnsi="Consolas" w:cs="Consolas"/>
          <w:color w:val="D7E3F2"/>
          <w:sz w:val="20"/>
          <w:szCs w:val="20"/>
        </w:rPr>
        <w:t xml:space="preserve">set security policies from-zone srv to-zone srv policy p-intra-srv then permit</w:t>
      </w:r>
    </w:p>
    <w:p>
      <w:pPr>
        <w:spacing w:before="0" w:after="110" w:line="276" w:lineRule="auto"/>
        <w:ind w:left="420"/>
      </w:pPr>
      <w:r>
        <w:rPr>
          <w:color w:val="41505F"/>
          <w:sz w:val="22"/>
          <w:szCs w:val="22"/>
        </w:rPr>
        <w:t xml:space="preserve">Les couples de zones sans politique restent fermés. C’est le comportement recherché : les flux applicatifs entre serveurs, zone démilitarisée et postes clients seront ouverts service par service au fur et à mesure des déploiements, jamais globalement.</w:t>
      </w:r>
    </w:p>
    <w:p>
      <w:pPr>
        <w:pBdr>
          <w:left w:val="single" w:sz="36" w:space="8" w:color="2E75B6"/>
        </w:pBdr>
        <w:shd w:val="clear" w:color="auto" w:fill="EAF2FB"/>
        <w:spacing w:before="120" w:after="140" w:line="276" w:lineRule="auto"/>
        <w:ind w:left="140"/>
      </w:pPr>
      <w:r>
        <w:rPr>
          <w:b/>
          <w:caps/>
          <w:color w:val="245D92"/>
          <w:sz w:val="17"/>
          <w:szCs w:val="17"/>
        </w:rPr>
        <w:t xml:space="preserve">Note   </w:t>
      </w:r>
      <w:r>
        <w:rPr>
          <w:b/>
          <w:color w:val="1F2A37"/>
          <w:sz w:val="21"/>
          <w:szCs w:val="21"/>
        </w:rPr>
        <w:t xml:space="preserve">Contrôle du volume. </w:t>
      </w:r>
      <w:r>
        <w:rPr>
          <w:color w:val="1F4972"/>
          <w:sz w:val="21"/>
          <w:szCs w:val="21"/>
        </w:rPr>
        <w:t xml:space="preserve">Chaque politique compte quatre lignes de configuration. Vérifier le total après saisie avec show security policies | display set | count et comparer au nombre attendu : le collage en console perd régulièrement la ligne then permit, ce qui produit une politique incomplète rejetée au commit.</w:t>
      </w:r>
    </w:p>
    <w:p>
      <w:pPr>
        <w:keepNext/>
        <w:spacing w:before="240" w:after="40"/>
        <w:ind w:left="420" w:hanging="420"/>
      </w:pPr>
      <w:r>
        <w:rPr>
          <w:b/>
          <w:color w:val="2E75B6"/>
          <w:sz w:val="23"/>
          <w:szCs w:val="23"/>
        </w:rPr>
        <w:t xml:space="preserve">10.   </w:t>
      </w:r>
      <w:r>
        <w:rPr>
          <w:b/>
          <w:color w:val="1F2A37"/>
          <w:sz w:val="23"/>
          <w:szCs w:val="23"/>
        </w:rPr>
        <w:t xml:space="preserve">Serveur DHCP par VLAN</w:t>
      </w:r>
    </w:p>
    <w:p>
      <w:pPr>
        <w:spacing w:before="0" w:after="110" w:line="276" w:lineRule="auto"/>
        <w:ind w:left="420"/>
      </w:pPr>
      <w:r>
        <w:rPr>
          <w:color w:val="41505F"/>
          <w:sz w:val="22"/>
          <w:szCs w:val="22"/>
        </w:rPr>
        <w:t xml:space="preserve">Un pool par VLAN, associé à un groupe lié à la sous-interface correspondante. L’option de résolution pointe vers la passerelle, c’est-à-dire vers le relais DNS configuré à l’étape suivante.</w:t>
      </w:r>
    </w:p>
    <w:p>
      <w:pPr>
        <w:shd w:val="clear" w:color="auto" w:fill="0F1722"/>
        <w:spacing w:before="60" w:after="140"/>
        <w:ind w:left="420"/>
      </w:pPr>
      <w:r>
        <w:rPr>
          <w:rFonts w:ascii="Consolas" w:hAnsi="Consolas" w:cs="Consolas"/>
          <w:color w:val="D7E3F2"/>
          <w:sz w:val="20"/>
          <w:szCs w:val="20"/>
        </w:rPr>
        <w:t xml:space="preserve">set access address-assignment pool p-adm family inet network 10.10.10.0/24</w:t>
      </w:r>
      <w:r>
        <w:br/>
      </w:r>
      <w:r>
        <w:rPr>
          <w:rFonts w:ascii="Consolas" w:hAnsi="Consolas" w:cs="Consolas"/>
          <w:color w:val="D7E3F2"/>
          <w:sz w:val="20"/>
          <w:szCs w:val="20"/>
        </w:rPr>
        <w:t xml:space="preserve">set access address-assignment pool p-adm family inet range r1 low 10.10.10.100 high 10.10.10.199</w:t>
      </w:r>
      <w:r>
        <w:br/>
      </w:r>
      <w:r>
        <w:rPr>
          <w:rFonts w:ascii="Consolas" w:hAnsi="Consolas" w:cs="Consolas"/>
          <w:color w:val="D7E3F2"/>
          <w:sz w:val="20"/>
          <w:szCs w:val="20"/>
        </w:rPr>
        <w:t xml:space="preserve">set access address-assignment pool p-adm family inet dhcp-attributes router 10.10.10.254</w:t>
      </w:r>
      <w:r>
        <w:br/>
      </w:r>
      <w:r>
        <w:rPr>
          <w:rFonts w:ascii="Consolas" w:hAnsi="Consolas" w:cs="Consolas"/>
          <w:color w:val="D7E3F2"/>
          <w:sz w:val="20"/>
          <w:szCs w:val="20"/>
        </w:rPr>
        <w:t xml:space="preserve">set access address-assignment pool p-adm family inet dhcp-attributes name-server 10.10.10.254</w:t>
      </w:r>
      <w:r>
        <w:br/>
      </w:r>
      <w:r>
        <w:rPr>
          <w:rFonts w:ascii="Consolas" w:hAnsi="Consolas" w:cs="Consolas"/>
          <w:color w:val="7F93A8"/>
          <w:sz w:val="20"/>
          <w:szCs w:val="20"/>
        </w:rPr>
        <w:t xml:space="preserve"># puis liaison du pool à la sous-interface</w:t>
      </w:r>
      <w:r>
        <w:br/>
      </w:r>
      <w:r>
        <w:rPr>
          <w:rFonts w:ascii="Consolas" w:hAnsi="Consolas" w:cs="Consolas"/>
          <w:color w:val="D7E3F2"/>
          <w:sz w:val="20"/>
          <w:szCs w:val="20"/>
        </w:rPr>
        <w:t xml:space="preserve">set system services dhcp-local-server group g-adm interface ge-0/0/1.10</w:t>
      </w:r>
    </w:p>
    <w:p>
      <w:pPr>
        <w:pBdr>
          <w:left w:val="single" w:sz="36" w:space="8" w:color="2E75B6"/>
        </w:pBdr>
        <w:shd w:val="clear" w:color="auto" w:fill="EAF2FB"/>
        <w:spacing w:before="120" w:after="140" w:line="276" w:lineRule="auto"/>
        <w:ind w:left="140"/>
      </w:pPr>
      <w:r>
        <w:rPr>
          <w:b/>
          <w:caps/>
          <w:color w:val="245D92"/>
          <w:sz w:val="17"/>
          <w:szCs w:val="17"/>
        </w:rPr>
        <w:t xml:space="preserve">Note   </w:t>
      </w:r>
      <w:r>
        <w:rPr>
          <w:b/>
          <w:color w:val="1F2A37"/>
          <w:sz w:val="21"/>
          <w:szCs w:val="21"/>
        </w:rPr>
        <w:t xml:space="preserve">Affichage des plages. </w:t>
      </w:r>
      <w:r>
        <w:rPr>
          <w:color w:val="1F4972"/>
          <w:sz w:val="21"/>
          <w:szCs w:val="21"/>
        </w:rPr>
        <w:t xml:space="preserve">Junos éclate range low et range high sur deux lignes distinctes à la relecture. Un pool complet compte donc cinq lignes, ou quatre pour un VLAN sans serveur de noms.</w:t>
      </w:r>
    </w:p>
    <w:p>
      <w:pPr>
        <w:keepNext/>
        <w:spacing w:before="240" w:after="40"/>
        <w:ind w:left="420" w:hanging="420"/>
      </w:pPr>
      <w:r>
        <w:rPr>
          <w:b/>
          <w:color w:val="2E75B6"/>
          <w:sz w:val="23"/>
          <w:szCs w:val="23"/>
        </w:rPr>
        <w:t xml:space="preserve">11.   </w:t>
      </w:r>
      <w:r>
        <w:rPr>
          <w:b/>
          <w:color w:val="1F2A37"/>
          <w:sz w:val="23"/>
          <w:szCs w:val="23"/>
        </w:rPr>
        <w:t xml:space="preserve">Relais DNS</w:t>
      </w:r>
    </w:p>
    <w:p>
      <w:pPr>
        <w:spacing w:before="0" w:after="110" w:line="276" w:lineRule="auto"/>
        <w:ind w:left="420"/>
      </w:pPr>
      <w:r>
        <w:rPr>
          <w:color w:val="41505F"/>
          <w:sz w:val="22"/>
          <w:szCs w:val="22"/>
        </w:rPr>
        <w:t xml:space="preserve">Les clients interrogent la passerelle de leur VLAN. Le pare-feu relaie ces requêtes vers les résolveurs amont. Deux hiérarchies distinctes sont nécessaires : les interfaces qui écoutent, et une vue qui définit les clients et les relais.</w:t>
      </w:r>
    </w:p>
    <w:p>
      <w:pPr>
        <w:shd w:val="clear" w:color="auto" w:fill="0F1722"/>
        <w:spacing w:before="60" w:after="140"/>
        <w:ind w:left="420"/>
      </w:pPr>
      <w:r>
        <w:rPr>
          <w:rFonts w:ascii="Consolas" w:hAnsi="Consolas" w:cs="Consolas"/>
          <w:color w:val="D7E3F2"/>
          <w:sz w:val="20"/>
          <w:szCs w:val="20"/>
        </w:rPr>
        <w:t xml:space="preserve">set system services dns dns-proxy interface ge-0/0/1.10</w:t>
      </w:r>
      <w:r>
        <w:br/>
      </w:r>
      <w:r>
        <w:rPr>
          <w:rFonts w:ascii="Consolas" w:hAnsi="Consolas" w:cs="Consolas"/>
          <w:color w:val="7F93A8"/>
          <w:sz w:val="20"/>
          <w:szCs w:val="20"/>
        </w:rPr>
        <w:t xml:space="preserve"># idem pour 20, 30, 40, 60, 70, 80</w:t>
      </w:r>
      <w:r>
        <w:br/>
      </w:r>
      <w:r>
        <w:rPr>
          <w:rFonts w:ascii="Consolas" w:hAnsi="Consolas" w:cs="Consolas"/>
          <w:color w:val="D7E3F2"/>
          <w:sz w:val="20"/>
          <w:szCs w:val="20"/>
        </w:rPr>
        <w:t xml:space="preserve">set system services dns dns-proxy view internal domain "." forwarders 9.9.9.9</w:t>
      </w:r>
      <w:r>
        <w:br/>
      </w:r>
      <w:r>
        <w:rPr>
          <w:rFonts w:ascii="Consolas" w:hAnsi="Consolas" w:cs="Consolas"/>
          <w:color w:val="D7E3F2"/>
          <w:sz w:val="20"/>
          <w:szCs w:val="20"/>
        </w:rPr>
        <w:t xml:space="preserve">set system services dns dns-proxy view internal domain "." forwarders 1.1.1.1</w:t>
      </w:r>
      <w:r>
        <w:br/>
      </w:r>
      <w:r>
        <w:rPr>
          <w:rFonts w:ascii="Consolas" w:hAnsi="Consolas" w:cs="Consolas"/>
          <w:color w:val="D7E3F2"/>
          <w:sz w:val="20"/>
          <w:szCs w:val="20"/>
        </w:rPr>
        <w:t xml:space="preserve">set system services dns dns-proxy view internal match-clients 10.10.10.0/24</w:t>
      </w:r>
      <w:r>
        <w:br/>
      </w:r>
      <w:r>
        <w:rPr>
          <w:rFonts w:ascii="Consolas" w:hAnsi="Consolas" w:cs="Consolas"/>
          <w:color w:val="7F93A8"/>
          <w:sz w:val="20"/>
          <w:szCs w:val="20"/>
        </w:rPr>
        <w:t xml:space="preserve"># idem pour chaque sous-réseau desservi</w:t>
      </w:r>
    </w:p>
    <w:p>
      <w:pPr>
        <w:pBdr>
          <w:left w:val="single" w:sz="36" w:space="8" w:color="A9710F"/>
        </w:pBdr>
        <w:shd w:val="clear" w:color="auto" w:fill="FBF2E3"/>
        <w:spacing w:before="120" w:after="140" w:line="276" w:lineRule="auto"/>
        <w:ind w:left="140"/>
      </w:pPr>
      <w:r>
        <w:rPr>
          <w:b/>
          <w:caps/>
          <w:color w:val="A9710F"/>
          <w:sz w:val="17"/>
          <w:szCs w:val="17"/>
        </w:rPr>
        <w:t xml:space="preserve">Attention   </w:t>
      </w:r>
      <w:r>
        <w:rPr>
          <w:b/>
          <w:color w:val="1F2A37"/>
          <w:sz w:val="21"/>
          <w:szCs w:val="21"/>
        </w:rPr>
        <w:t xml:space="preserve">Syntaxe du relais. </w:t>
      </w:r>
      <w:r>
        <w:rPr>
          <w:color w:val="7A5409"/>
          <w:sz w:val="21"/>
          <w:szCs w:val="21"/>
        </w:rPr>
        <w:t xml:space="preserve">match-clients attend des préfixes IP et refuse les noms d’interfaces. La directive default-domain attend un nom de domaine et n’accepte pas de caractère générique : le relais de tous les domaines passe par une vue dont le domaine est le point. Une vue sans match-clients est rejetée au commit avec « Missing mandatory statement ».</w:t>
      </w:r>
    </w:p>
    <w:p>
      <w:pPr>
        <w:keepNext/>
        <w:spacing w:before="240" w:after="40"/>
        <w:ind w:left="420" w:hanging="420"/>
      </w:pPr>
      <w:r>
        <w:rPr>
          <w:b/>
          <w:color w:val="2E75B6"/>
          <w:sz w:val="23"/>
          <w:szCs w:val="23"/>
        </w:rPr>
        <w:t xml:space="preserve">12.   </w:t>
      </w:r>
      <w:r>
        <w:rPr>
          <w:b/>
          <w:color w:val="1F2A37"/>
          <w:sz w:val="23"/>
          <w:szCs w:val="23"/>
        </w:rPr>
        <w:t xml:space="preserve">Compte d’administration nominatif</w:t>
      </w:r>
    </w:p>
    <w:p>
      <w:pPr>
        <w:spacing w:before="0" w:after="110" w:line="276" w:lineRule="auto"/>
        <w:ind w:left="420"/>
      </w:pPr>
      <w:r>
        <w:rPr>
          <w:color w:val="41505F"/>
          <w:sz w:val="22"/>
          <w:szCs w:val="22"/>
        </w:rPr>
        <w:t xml:space="preserve">Créer un compte distinct de root, puis fermer l’authentification root par mot de passe. La connexion root reste possible par la console série, ce qui préserve la reprise en cas d’incident.</w:t>
      </w:r>
    </w:p>
    <w:p>
      <w:pPr>
        <w:shd w:val="clear" w:color="auto" w:fill="0F1722"/>
        <w:spacing w:before="60" w:after="140"/>
        <w:ind w:left="420"/>
      </w:pPr>
      <w:r>
        <w:rPr>
          <w:rFonts w:ascii="Consolas" w:hAnsi="Consolas" w:cs="Consolas"/>
          <w:color w:val="D7E3F2"/>
          <w:sz w:val="20"/>
          <w:szCs w:val="20"/>
        </w:rPr>
        <w:t xml:space="preserve">set system login user admin uid 2000</w:t>
      </w:r>
      <w:r>
        <w:br/>
      </w:r>
      <w:r>
        <w:rPr>
          <w:rFonts w:ascii="Consolas" w:hAnsi="Consolas" w:cs="Consolas"/>
          <w:color w:val="D7E3F2"/>
          <w:sz w:val="20"/>
          <w:szCs w:val="20"/>
        </w:rPr>
        <w:t xml:space="preserve">set system login user admin class super-user</w:t>
      </w:r>
      <w:r>
        <w:br/>
      </w:r>
      <w:r>
        <w:rPr>
          <w:rFonts w:ascii="Consolas" w:hAnsi="Consolas" w:cs="Consolas"/>
          <w:color w:val="7F93A8"/>
          <w:sz w:val="20"/>
          <w:szCs w:val="20"/>
        </w:rPr>
        <w:t xml:space="preserve"># invite interactive : saisie du mot de passe deux fois</w:t>
      </w:r>
      <w:r>
        <w:br/>
      </w:r>
      <w:r>
        <w:rPr>
          <w:rFonts w:ascii="Consolas" w:hAnsi="Consolas" w:cs="Consolas"/>
          <w:color w:val="D7E3F2"/>
          <w:sz w:val="20"/>
          <w:szCs w:val="20"/>
        </w:rPr>
        <w:t xml:space="preserve">set system login user admin authentication plain-text-password</w:t>
      </w:r>
      <w:r>
        <w:br/>
      </w:r>
      <w:r>
        <w:rPr>
          <w:rFonts w:ascii="Consolas" w:hAnsi="Consolas" w:cs="Consolas"/>
          <w:color w:val="D7E3F2"/>
          <w:sz w:val="20"/>
          <w:szCs w:val="20"/>
        </w:rPr>
        <w:t xml:space="preserve">set system services ssh root-login deny-password</w:t>
      </w:r>
    </w:p>
    <w:p>
      <w:pPr>
        <w:keepNext/>
        <w:spacing w:before="240" w:after="40"/>
        <w:ind w:left="420" w:hanging="420"/>
      </w:pPr>
      <w:r>
        <w:rPr>
          <w:b/>
          <w:color w:val="2E75B6"/>
          <w:sz w:val="23"/>
          <w:szCs w:val="23"/>
        </w:rPr>
        <w:t xml:space="preserve">13.   </w:t>
      </w:r>
      <w:r>
        <w:rPr>
          <w:b/>
          <w:color w:val="1F2A37"/>
          <w:sz w:val="23"/>
          <w:szCs w:val="23"/>
        </w:rPr>
        <w:t xml:space="preserve">Interface WAN</w:t>
      </w:r>
    </w:p>
    <w:p>
      <w:pPr>
        <w:spacing w:before="0" w:after="110" w:line="276" w:lineRule="auto"/>
        <w:ind w:left="420"/>
      </w:pPr>
      <w:r>
        <w:rPr>
          <w:color w:val="41505F"/>
          <w:sz w:val="22"/>
          <w:szCs w:val="22"/>
        </w:rPr>
        <w:t xml:space="preserve">Le port fournisseur obtient son adresse par DHCP et rejoint la zone non fiable, où seuls le client DHCP et la réponse à l’écho ICMP sont autorisés vers le pare-feu lui-même.</w:t>
      </w:r>
    </w:p>
    <w:p>
      <w:pPr>
        <w:shd w:val="clear" w:color="auto" w:fill="0F1722"/>
        <w:spacing w:before="60" w:after="140"/>
        <w:ind w:left="420"/>
      </w:pPr>
      <w:r>
        <w:rPr>
          <w:rFonts w:ascii="Consolas" w:hAnsi="Consolas" w:cs="Consolas"/>
          <w:color w:val="D7E3F2"/>
          <w:sz w:val="20"/>
          <w:szCs w:val="20"/>
        </w:rPr>
        <w:t xml:space="preserve">set interfaces ge-0/0/0 unit 0 family inet dhcp-client</w:t>
      </w:r>
      <w:r>
        <w:br/>
      </w:r>
      <w:r>
        <w:rPr>
          <w:rFonts w:ascii="Consolas" w:hAnsi="Consolas" w:cs="Consolas"/>
          <w:color w:val="D7E3F2"/>
          <w:sz w:val="20"/>
          <w:szCs w:val="20"/>
        </w:rPr>
        <w:t xml:space="preserve">set security zones security-zone untrust interfaces ge-0/0/0.0 host-inbound-traffic system-services dhcp</w:t>
      </w:r>
      <w:r>
        <w:br/>
      </w:r>
      <w:r>
        <w:rPr>
          <w:rFonts w:ascii="Consolas" w:hAnsi="Consolas" w:cs="Consolas"/>
          <w:color w:val="D7E3F2"/>
          <w:sz w:val="20"/>
          <w:szCs w:val="20"/>
        </w:rPr>
        <w:t xml:space="preserve">set security zones security-zone untrust interfaces ge-0/0/0.0 host-inbound-traffic system-services ping</w:t>
      </w:r>
    </w:p>
    <w:p>
      <w:pPr>
        <w:pBdr>
          <w:left w:val="single" w:sz="36" w:space="8" w:color="A9710F"/>
        </w:pBdr>
        <w:shd w:val="clear" w:color="auto" w:fill="FBF2E3"/>
        <w:spacing w:before="120" w:after="140" w:line="276" w:lineRule="auto"/>
        <w:ind w:left="140"/>
      </w:pPr>
      <w:r>
        <w:rPr>
          <w:b/>
          <w:caps/>
          <w:color w:val="A9710F"/>
          <w:sz w:val="17"/>
          <w:szCs w:val="17"/>
        </w:rPr>
        <w:t xml:space="preserve">Attention   </w:t>
      </w:r>
      <w:r>
        <w:rPr>
          <w:b/>
          <w:color w:val="1F2A37"/>
          <w:sz w:val="21"/>
          <w:szCs w:val="21"/>
        </w:rPr>
        <w:t xml:space="preserve">Ne pas confondre les deux formes. </w:t>
      </w:r>
      <w:r>
        <w:rPr>
          <w:color w:val="7A5409"/>
          <w:sz w:val="21"/>
          <w:szCs w:val="21"/>
        </w:rPr>
        <w:t xml:space="preserve">La forme family inet dhcp est refusée au commit dès qu’un serveur DHCP est déclaré sur l’équipement : « Incompatible with the dhcp-local-server configured ». La forme family inet dhcp-client sépare correctement les deux rôles et doit être utilisée systématiquement lorsque le pare-feu est à la fois client et serveur DHCP.</w:t>
      </w:r>
    </w:p>
    <w:p>
      <w:pPr>
        <w:keepNext/>
        <w:spacing w:before="240" w:after="40"/>
        <w:ind w:left="420" w:hanging="420"/>
      </w:pPr>
      <w:r>
        <w:rPr>
          <w:b/>
          <w:color w:val="2E75B6"/>
          <w:sz w:val="23"/>
          <w:szCs w:val="23"/>
        </w:rPr>
        <w:t xml:space="preserve">14.   </w:t>
      </w:r>
      <w:r>
        <w:rPr>
          <w:b/>
          <w:color w:val="1F2A37"/>
          <w:sz w:val="23"/>
          <w:szCs w:val="23"/>
        </w:rPr>
        <w:t xml:space="preserve">Traduction d’adresses et politiques sortantes</w:t>
      </w:r>
    </w:p>
    <w:p>
      <w:pPr>
        <w:spacing w:before="0" w:after="110" w:line="276" w:lineRule="auto"/>
        <w:ind w:left="420"/>
      </w:pPr>
      <w:r>
        <w:rPr>
          <w:color w:val="41505F"/>
          <w:sz w:val="22"/>
          <w:szCs w:val="22"/>
        </w:rPr>
        <w:t xml:space="preserve">Toutes les zones internes sont masquées derrière l’adresse du port fournisseur. Chaque VLAN autorisé à sortir reçoit ensuite sa propre politique vers la zone non fiable.</w:t>
      </w:r>
    </w:p>
    <w:p>
      <w:pPr>
        <w:shd w:val="clear" w:color="auto" w:fill="0F1722"/>
        <w:spacing w:before="60" w:after="140"/>
        <w:ind w:left="420"/>
      </w:pPr>
      <w:r>
        <w:rPr>
          <w:rFonts w:ascii="Consolas" w:hAnsi="Consolas" w:cs="Consolas"/>
          <w:color w:val="D7E3F2"/>
          <w:sz w:val="20"/>
          <w:szCs w:val="20"/>
        </w:rPr>
        <w:t xml:space="preserve">set security nat source rule-set rs-trust-to-untrust from zone adm</w:t>
      </w:r>
      <w:r>
        <w:br/>
      </w:r>
      <w:r>
        <w:rPr>
          <w:rFonts w:ascii="Consolas" w:hAnsi="Consolas" w:cs="Consolas"/>
          <w:color w:val="7F93A8"/>
          <w:sz w:val="20"/>
          <w:szCs w:val="20"/>
        </w:rPr>
        <w:t xml:space="preserve"># répéter pour srv, dmz, cli, voip, dep, wfi, lab</w:t>
      </w:r>
      <w:r>
        <w:br/>
      </w:r>
      <w:r>
        <w:rPr>
          <w:rFonts w:ascii="Consolas" w:hAnsi="Consolas" w:cs="Consolas"/>
          <w:color w:val="D7E3F2"/>
          <w:sz w:val="20"/>
          <w:szCs w:val="20"/>
        </w:rPr>
        <w:t xml:space="preserve">set security nat source rule-set rs-trust-to-untrust to zone untrust</w:t>
      </w:r>
      <w:r>
        <w:br/>
      </w:r>
      <w:r>
        <w:rPr>
          <w:rFonts w:ascii="Consolas" w:hAnsi="Consolas" w:cs="Consolas"/>
          <w:color w:val="D7E3F2"/>
          <w:sz w:val="20"/>
          <w:szCs w:val="20"/>
        </w:rPr>
        <w:t xml:space="preserve">set security nat source rule-set rs-trust-to-untrust rule r-masq match source-address 0.0.0.0/0</w:t>
      </w:r>
      <w:r>
        <w:br/>
      </w:r>
      <w:r>
        <w:rPr>
          <w:rFonts w:ascii="Consolas" w:hAnsi="Consolas" w:cs="Consolas"/>
          <w:color w:val="D7E3F2"/>
          <w:sz w:val="20"/>
          <w:szCs w:val="20"/>
        </w:rPr>
        <w:t xml:space="preserve">set security nat source rule-set rs-trust-to-untrust rule r-masq match destination-address 0.0.0.0/0</w:t>
      </w:r>
      <w:r>
        <w:br/>
      </w:r>
      <w:r>
        <w:rPr>
          <w:rFonts w:ascii="Consolas" w:hAnsi="Consolas" w:cs="Consolas"/>
          <w:color w:val="D7E3F2"/>
          <w:sz w:val="20"/>
          <w:szCs w:val="20"/>
        </w:rPr>
        <w:t xml:space="preserve">set security nat source rule-set rs-trust-to-untrust rule r-masq then source-nat interface</w:t>
      </w:r>
      <w:r>
        <w:br/>
      </w:r>
      <w:r>
        <w:rPr>
          <w:rFonts w:ascii="Consolas" w:hAnsi="Consolas" w:cs="Consolas"/>
          <w:color w:val="7F93A8"/>
          <w:sz w:val="20"/>
          <w:szCs w:val="20"/>
        </w:rPr>
        <w:t xml:space="preserve"># politique de sortie, une par zone</w:t>
      </w:r>
      <w:r>
        <w:br/>
      </w:r>
      <w:r>
        <w:rPr>
          <w:rFonts w:ascii="Consolas" w:hAnsi="Consolas" w:cs="Consolas"/>
          <w:color w:val="D7E3F2"/>
          <w:sz w:val="20"/>
          <w:szCs w:val="20"/>
        </w:rPr>
        <w:t xml:space="preserve">set security policies from-zone adm to-zone untrust policy p-adm-to-wan match source-address net-adm</w:t>
      </w:r>
      <w:r>
        <w:br/>
      </w:r>
      <w:r>
        <w:rPr>
          <w:rFonts w:ascii="Consolas" w:hAnsi="Consolas" w:cs="Consolas"/>
          <w:color w:val="D7E3F2"/>
          <w:sz w:val="20"/>
          <w:szCs w:val="20"/>
        </w:rPr>
        <w:t xml:space="preserve">set security policies from-zone adm to-zone untrust policy p-adm-to-wan match destination-address any</w:t>
      </w:r>
      <w:r>
        <w:br/>
      </w:r>
      <w:r>
        <w:rPr>
          <w:rFonts w:ascii="Consolas" w:hAnsi="Consolas" w:cs="Consolas"/>
          <w:color w:val="D7E3F2"/>
          <w:sz w:val="20"/>
          <w:szCs w:val="20"/>
        </w:rPr>
        <w:t xml:space="preserve">set security policies from-zone adm to-zone untrust policy p-adm-to-wan match application any</w:t>
      </w:r>
      <w:r>
        <w:br/>
      </w:r>
      <w:r>
        <w:rPr>
          <w:rFonts w:ascii="Consolas" w:hAnsi="Consolas" w:cs="Consolas"/>
          <w:color w:val="D7E3F2"/>
          <w:sz w:val="20"/>
          <w:szCs w:val="20"/>
        </w:rPr>
        <w:t xml:space="preserve">set security policies from-zone adm to-zone untrust policy p-adm-to-wan then permit</w:t>
      </w:r>
    </w:p>
    <w:p>
      <w:pPr>
        <w:keepNext/>
        <w:spacing w:before="240" w:after="40"/>
        <w:ind w:left="420" w:hanging="420"/>
      </w:pPr>
      <w:r>
        <w:rPr>
          <w:b/>
          <w:color w:val="2E75B6"/>
          <w:sz w:val="23"/>
          <w:szCs w:val="23"/>
        </w:rPr>
        <w:t xml:space="preserve">15.   </w:t>
      </w:r>
      <w:r>
        <w:rPr>
          <w:b/>
          <w:color w:val="1F2A37"/>
          <w:sz w:val="23"/>
          <w:szCs w:val="23"/>
        </w:rPr>
        <w:t xml:space="preserve">Validation et enregistrement</w:t>
      </w:r>
    </w:p>
    <w:p>
      <w:pPr>
        <w:spacing w:before="0" w:after="110" w:line="276" w:lineRule="auto"/>
        <w:ind w:left="420"/>
      </w:pPr>
      <w:r>
        <w:rPr>
          <w:color w:val="41505F"/>
          <w:sz w:val="22"/>
          <w:szCs w:val="22"/>
        </w:rPr>
        <w:t xml:space="preserve">Contrôler la cohérence avant d’appliquer, puis appliquer avec retour automatique si la confirmation n’intervient pas dans le délai imparti.</w:t>
      </w:r>
    </w:p>
    <w:p>
      <w:pPr>
        <w:shd w:val="clear" w:color="auto" w:fill="0F1722"/>
        <w:spacing w:before="60" w:after="140"/>
        <w:ind w:left="420"/>
      </w:pPr>
      <w:r>
        <w:rPr>
          <w:rFonts w:ascii="Consolas" w:hAnsi="Consolas" w:cs="Consolas"/>
          <w:color w:val="D7E3F2"/>
          <w:sz w:val="20"/>
          <w:szCs w:val="20"/>
        </w:rPr>
        <w:t xml:space="preserve">commit check</w:t>
      </w:r>
      <w:r>
        <w:br/>
      </w:r>
      <w:r>
        <w:rPr>
          <w:rFonts w:ascii="Consolas" w:hAnsi="Consolas" w:cs="Consolas"/>
          <w:color w:val="7F93A8"/>
          <w:sz w:val="20"/>
          <w:szCs w:val="20"/>
        </w:rPr>
        <w:t xml:space="preserve"># applique et programme un retour arrière dans 5 minutes</w:t>
      </w:r>
      <w:r>
        <w:br/>
      </w:r>
      <w:r>
        <w:rPr>
          <w:rFonts w:ascii="Consolas" w:hAnsi="Consolas" w:cs="Consolas"/>
          <w:color w:val="D7E3F2"/>
          <w:sz w:val="20"/>
          <w:szCs w:val="20"/>
        </w:rPr>
        <w:t xml:space="preserve">commit confirmed 5</w:t>
      </w:r>
      <w:r>
        <w:br/>
      </w:r>
      <w:r>
        <w:rPr>
          <w:rFonts w:ascii="Consolas" w:hAnsi="Consolas" w:cs="Consolas"/>
          <w:color w:val="7F93A8"/>
          <w:sz w:val="20"/>
          <w:szCs w:val="20"/>
        </w:rPr>
        <w:t xml:space="preserve"># confirme définitivement une fois l’accès vérifié</w:t>
      </w:r>
      <w:r>
        <w:br/>
      </w:r>
      <w:r>
        <w:rPr>
          <w:rFonts w:ascii="Consolas" w:hAnsi="Consolas" w:cs="Consolas"/>
          <w:color w:val="D7E3F2"/>
          <w:sz w:val="20"/>
          <w:szCs w:val="20"/>
        </w:rPr>
        <w:t xml:space="preserve">commit</w:t>
      </w:r>
    </w:p>
    <w:p>
      <w:pPr>
        <w:spacing w:before="0" w:after="110" w:line="276" w:lineRule="auto"/>
        <w:ind w:left="420"/>
      </w:pPr>
      <w:r>
        <w:rPr>
          <w:color w:val="41505F"/>
          <w:sz w:val="22"/>
          <w:szCs w:val="22"/>
        </w:rPr>
        <w:t xml:space="preserve">Le changement de nom d’hôte dans l’invite confirme la prise en compte. Les messages relatifs aux démons mountd et gstatd émis au moment du commit sont normaux sur cette gamme et sans conséquence.</w:t>
      </w:r>
    </w:p>
    <w:p>
      <w:pPr>
        <w:keepNext/>
        <w:spacing w:before="240" w:after="40"/>
        <w:ind w:left="420" w:hanging="420"/>
      </w:pPr>
      <w:r>
        <w:rPr>
          <w:b/>
          <w:color w:val="2E75B6"/>
          <w:sz w:val="23"/>
          <w:szCs w:val="23"/>
        </w:rPr>
        <w:t xml:space="preserve">16.   </w:t>
      </w:r>
      <w:r>
        <w:rPr>
          <w:b/>
          <w:color w:val="1F2A37"/>
          <w:sz w:val="23"/>
          <w:szCs w:val="23"/>
        </w:rPr>
        <w:t xml:space="preserve">Raccordement physique</w:t>
      </w:r>
    </w:p>
    <w:p>
      <w:pPr>
        <w:spacing w:before="0" w:after="110" w:line="276" w:lineRule="auto"/>
        <w:ind w:left="420"/>
      </w:pPr>
      <w:r>
        <w:rPr>
          <w:color w:val="41505F"/>
          <w:sz w:val="22"/>
          <w:szCs w:val="22"/>
        </w:rPr>
        <w:t xml:space="preserve">Le raccordement intervient après validation de la configuration, jamais avant : un pare-feu partiellement configuré branché sur un réseau en production y introduit un second serveur DHCP et un second routeur.</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2400"/>
        <w:gridCol w:w="3300"/>
        <w:gridCol w:w="3370"/>
      </w:tblGrid>
      <w:tr>
        <w:tc>
          <w:tcPr>
            <w:tcW w:w="24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Lien</w:t>
            </w:r>
          </w:p>
        </w:tc>
        <w:tc>
          <w:tcPr>
            <w:tcW w:w="33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Origine</w:t>
            </w:r>
          </w:p>
        </w:tc>
        <w:tc>
          <w:tcPr>
            <w:tcW w:w="337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Destination</w:t>
            </w:r>
          </w:p>
        </w:tc>
      </w:tr>
      <w:tr>
        <w:tc>
          <w:tcPr>
            <w:tcW w:w="2400" w:type="dxa"/>
            <w:tcMar>
              <w:top w:w="70" w:type="dxa"/>
              <w:left w:w="110" w:type="dxa"/>
              <w:bottom w:w="70" w:type="dxa"/>
              <w:right w:w="110" w:type="dxa"/>
            </w:tcMar>
            <w:vAlign w:val="center"/>
          </w:tcPr>
          <w:p>
            <w:pPr>
              <w:spacing w:before="10" w:after="10"/>
            </w:pPr>
            <w:r>
              <w:rPr>
                <w:b/>
                <w:color w:val="1F2A37"/>
                <w:sz w:val="19"/>
                <w:szCs w:val="19"/>
              </w:rPr>
              <w:t xml:space="preserve">WAN</w:t>
            </w:r>
          </w:p>
        </w:tc>
        <w:tc>
          <w:tcPr>
            <w:tcW w:w="33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Port réseau du routeur d’accès</w:t>
            </w:r>
          </w:p>
        </w:tc>
        <w:tc>
          <w:tcPr>
            <w:tcW w:w="33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ge-0/0/0</w:t>
            </w:r>
          </w:p>
        </w:tc>
      </w:tr>
      <w:tr>
        <w:tc>
          <w:tcPr>
            <w:tcW w:w="2400" w:type="dxa"/>
            <w:tcMar>
              <w:top w:w="70" w:type="dxa"/>
              <w:left w:w="110" w:type="dxa"/>
              <w:bottom w:w="70" w:type="dxa"/>
              <w:right w:w="110" w:type="dxa"/>
            </w:tcMar>
            <w:vAlign w:val="center"/>
          </w:tcPr>
          <w:p>
            <w:pPr>
              <w:spacing w:before="10" w:after="10"/>
            </w:pPr>
            <w:r>
              <w:rPr>
                <w:b/>
                <w:color w:val="1F2A37"/>
                <w:sz w:val="19"/>
                <w:szCs w:val="19"/>
              </w:rPr>
              <w:t xml:space="preserve">Trunk</w:t>
            </w:r>
          </w:p>
        </w:tc>
        <w:tc>
          <w:tcPr>
            <w:tcW w:w="33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ge-0/0/1</w:t>
            </w:r>
          </w:p>
        </w:tc>
        <w:tc>
          <w:tcPr>
            <w:tcW w:w="33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Port d’uplink du commutateur</w:t>
            </w:r>
          </w:p>
        </w:tc>
      </w:tr>
    </w:tbl>
    <w:p>
      <w:pPr>
        <w:spacing w:after="0"/>
      </w:pPr>
    </w:p>
    <w:p>
      <w:pPr>
        <w:keepNext/>
        <w:spacing w:before="200" w:after="70"/>
      </w:pPr>
      <w:r>
        <w:rPr>
          <w:b/>
          <w:color w:val="245D92"/>
          <w:sz w:val="23"/>
          <w:szCs w:val="23"/>
        </w:rPr>
        <w:t xml:space="preserve">Retour arrière</w:t>
      </w:r>
    </w:p>
    <w:p>
      <w:pPr>
        <w:spacing w:before="0" w:after="110" w:line="276" w:lineRule="auto"/>
      </w:pPr>
      <w:r>
        <w:rPr>
          <w:color w:val="41505F"/>
          <w:sz w:val="22"/>
          <w:szCs w:val="22"/>
        </w:rPr>
        <w:t xml:space="preserve">Toute modification reste réversible tant qu’elle n’est pas confirmée. Les niveaux de retour disponibles sont les suivants.</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2600"/>
        <w:gridCol w:w="6470"/>
      </w:tblGrid>
      <w:tr>
        <w:tc>
          <w:tcPr>
            <w:tcW w:w="26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Situation</w:t>
            </w:r>
          </w:p>
        </w:tc>
        <w:tc>
          <w:tcPr>
            <w:tcW w:w="647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Action</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Saisie en cours, non appliquée</w:t>
            </w:r>
          </w:p>
        </w:tc>
        <w:tc>
          <w:tcPr>
            <w:tcW w:w="6470" w:type="dxa"/>
            <w:tcMar>
              <w:top w:w="70" w:type="dxa"/>
              <w:left w:w="110" w:type="dxa"/>
              <w:bottom w:w="70" w:type="dxa"/>
              <w:right w:w="110" w:type="dxa"/>
            </w:tcMar>
            <w:vAlign w:val="center"/>
          </w:tcPr>
          <w:p>
            <w:pPr>
              <w:spacing w:before="10" w:after="10"/>
            </w:pPr>
            <w:r>
              <w:rPr>
                <w:color w:val="41505F"/>
                <w:sz w:val="19"/>
                <w:szCs w:val="19"/>
              </w:rPr>
              <w:t xml:space="preserve">rollback 0 puis vérification par show | compare, qui doit ne rien renvoyer.</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Configuration appliquée, incident détecté</w:t>
            </w:r>
          </w:p>
        </w:tc>
        <w:tc>
          <w:tcPr>
            <w:tcW w:w="6470" w:type="dxa"/>
            <w:tcMar>
              <w:top w:w="70" w:type="dxa"/>
              <w:left w:w="110" w:type="dxa"/>
              <w:bottom w:w="70" w:type="dxa"/>
              <w:right w:w="110" w:type="dxa"/>
            </w:tcMar>
            <w:vAlign w:val="center"/>
          </w:tcPr>
          <w:p>
            <w:pPr>
              <w:spacing w:before="10" w:after="10"/>
            </w:pPr>
            <w:r>
              <w:rPr>
                <w:color w:val="41505F"/>
                <w:sz w:val="19"/>
                <w:szCs w:val="19"/>
              </w:rPr>
              <w:t xml:space="preserve">rollback 1 puis commit — restaure la configuration précédente.</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Perte d’accès après commit confirmed</w:t>
            </w:r>
          </w:p>
        </w:tc>
        <w:tc>
          <w:tcPr>
            <w:tcW w:w="6470" w:type="dxa"/>
            <w:tcMar>
              <w:top w:w="70" w:type="dxa"/>
              <w:left w:w="110" w:type="dxa"/>
              <w:bottom w:w="70" w:type="dxa"/>
              <w:right w:w="110" w:type="dxa"/>
            </w:tcMar>
            <w:vAlign w:val="center"/>
          </w:tcPr>
          <w:p>
            <w:pPr>
              <w:spacing w:before="10" w:after="10"/>
            </w:pPr>
            <w:r>
              <w:rPr>
                <w:color w:val="41505F"/>
                <w:sz w:val="19"/>
                <w:szCs w:val="19"/>
              </w:rPr>
              <w:t xml:space="preserve">Aucune action : la configuration précédente est restaurée automatiquement à l’expiration du délai.</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Perte totale d’accès</w:t>
            </w:r>
          </w:p>
        </w:tc>
        <w:tc>
          <w:tcPr>
            <w:tcW w:w="6470" w:type="dxa"/>
            <w:tcMar>
              <w:top w:w="70" w:type="dxa"/>
              <w:left w:w="110" w:type="dxa"/>
              <w:bottom w:w="70" w:type="dxa"/>
              <w:right w:w="110" w:type="dxa"/>
            </w:tcMar>
            <w:vAlign w:val="center"/>
          </w:tcPr>
          <w:p>
            <w:pPr>
              <w:spacing w:before="10" w:after="10"/>
            </w:pPr>
            <w:r>
              <w:rPr>
                <w:color w:val="41505F"/>
                <w:sz w:val="19"/>
                <w:szCs w:val="19"/>
              </w:rPr>
              <w:t xml:space="preserve">Reprise par la console série, puis request system zeroize et reprise de la procédure à l’étape 2.</w:t>
            </w:r>
          </w:p>
        </w:tc>
      </w:tr>
    </w:tbl>
    <w:p>
      <w:pPr>
        <w:spacing w:after="0"/>
      </w:pPr>
    </w:p>
    <w:p>
      <w:pPr>
        <w:keepNext/>
        <w:spacing w:before="200" w:after="70"/>
      </w:pPr>
      <w:r>
        <w:rPr>
          <w:b/>
          <w:color w:val="245D92"/>
          <w:sz w:val="23"/>
          <w:szCs w:val="23"/>
        </w:rPr>
        <w:t xml:space="preserve">Pièges connus</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2900"/>
        <w:gridCol w:w="3200"/>
        <w:gridCol w:w="2970"/>
      </w:tblGrid>
      <w:tr>
        <w:tc>
          <w:tcPr>
            <w:tcW w:w="29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Symptôme</w:t>
            </w:r>
          </w:p>
        </w:tc>
        <w:tc>
          <w:tcPr>
            <w:tcW w:w="32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Cause</w:t>
            </w:r>
          </w:p>
        </w:tc>
        <w:tc>
          <w:tcPr>
            <w:tcW w:w="297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Résolution</w:t>
            </w:r>
          </w:p>
        </w:tc>
      </w:tr>
      <w:tr>
        <w:tc>
          <w:tcPr>
            <w:tcW w:w="2900" w:type="dxa"/>
            <w:tcMar>
              <w:top w:w="70" w:type="dxa"/>
              <w:left w:w="110" w:type="dxa"/>
              <w:bottom w:w="70" w:type="dxa"/>
              <w:right w:w="110" w:type="dxa"/>
            </w:tcMar>
            <w:vAlign w:val="center"/>
          </w:tcPr>
          <w:p>
            <w:pPr>
              <w:spacing w:before="10" w:after="10"/>
            </w:pPr>
            <w:r>
              <w:rPr>
                <w:b/>
                <w:color w:val="1F2A37"/>
                <w:sz w:val="19"/>
                <w:szCs w:val="19"/>
              </w:rPr>
              <w:t xml:space="preserve">invalid interface type</w:t>
            </w:r>
          </w:p>
        </w:tc>
        <w:tc>
          <w:tcPr>
            <w:tcW w:w="3200" w:type="dxa"/>
            <w:tcMar>
              <w:top w:w="70" w:type="dxa"/>
              <w:left w:w="110" w:type="dxa"/>
              <w:bottom w:w="70" w:type="dxa"/>
              <w:right w:w="110" w:type="dxa"/>
            </w:tcMar>
            <w:vAlign w:val="center"/>
          </w:tcPr>
          <w:p>
            <w:pPr>
              <w:spacing w:before="10" w:after="10"/>
            </w:pPr>
            <w:r>
              <w:rPr>
                <w:color w:val="41505F"/>
                <w:sz w:val="19"/>
                <w:szCs w:val="19"/>
              </w:rPr>
              <w:t xml:space="preserve">Nom de paramètre non substitué avant collage</w:t>
            </w:r>
          </w:p>
        </w:tc>
        <w:tc>
          <w:tcPr>
            <w:tcW w:w="2970" w:type="dxa"/>
            <w:tcMar>
              <w:top w:w="70" w:type="dxa"/>
              <w:left w:w="110" w:type="dxa"/>
              <w:bottom w:w="70" w:type="dxa"/>
              <w:right w:w="110" w:type="dxa"/>
            </w:tcMar>
            <w:vAlign w:val="center"/>
          </w:tcPr>
          <w:p>
            <w:pPr>
              <w:spacing w:before="10" w:after="10"/>
            </w:pPr>
            <w:r>
              <w:rPr>
                <w:color w:val="41505F"/>
                <w:sz w:val="19"/>
                <w:szCs w:val="19"/>
              </w:rPr>
              <w:t xml:space="preserve">Remplacer par la valeur réelle ; ne jamais coller un gabarit.</w:t>
            </w:r>
          </w:p>
        </w:tc>
      </w:tr>
      <w:tr>
        <w:tc>
          <w:tcPr>
            <w:tcW w:w="2900" w:type="dxa"/>
            <w:tcMar>
              <w:top w:w="70" w:type="dxa"/>
              <w:left w:w="110" w:type="dxa"/>
              <w:bottom w:w="70" w:type="dxa"/>
              <w:right w:w="110" w:type="dxa"/>
            </w:tcMar>
            <w:vAlign w:val="center"/>
          </w:tcPr>
          <w:p>
            <w:pPr>
              <w:spacing w:before="10" w:after="10"/>
            </w:pPr>
            <w:r>
              <w:rPr>
                <w:b/>
                <w:color w:val="1F2A37"/>
                <w:sz w:val="19"/>
                <w:szCs w:val="19"/>
              </w:rPr>
              <w:t xml:space="preserve">Commandes concaténées ou absentes</w:t>
            </w:r>
          </w:p>
        </w:tc>
        <w:tc>
          <w:tcPr>
            <w:tcW w:w="3200" w:type="dxa"/>
            <w:tcMar>
              <w:top w:w="70" w:type="dxa"/>
              <w:left w:w="110" w:type="dxa"/>
              <w:bottom w:w="70" w:type="dxa"/>
              <w:right w:w="110" w:type="dxa"/>
            </w:tcMar>
            <w:vAlign w:val="center"/>
          </w:tcPr>
          <w:p>
            <w:pPr>
              <w:spacing w:before="10" w:after="10"/>
            </w:pPr>
            <w:r>
              <w:rPr>
                <w:color w:val="41505F"/>
                <w:sz w:val="19"/>
                <w:szCs w:val="19"/>
              </w:rPr>
              <w:t xml:space="preserve">Saturation du tampon de la console série</w:t>
            </w:r>
          </w:p>
        </w:tc>
        <w:tc>
          <w:tcPr>
            <w:tcW w:w="2970" w:type="dxa"/>
            <w:tcMar>
              <w:top w:w="70" w:type="dxa"/>
              <w:left w:w="110" w:type="dxa"/>
              <w:bottom w:w="70" w:type="dxa"/>
              <w:right w:w="110" w:type="dxa"/>
            </w:tcMar>
            <w:vAlign w:val="center"/>
          </w:tcPr>
          <w:p>
            <w:pPr>
              <w:spacing w:before="10" w:after="10"/>
            </w:pPr>
            <w:r>
              <w:rPr>
                <w:color w:val="41505F"/>
                <w:sz w:val="19"/>
                <w:szCs w:val="19"/>
              </w:rPr>
              <w:t xml:space="preserve">Coller par tranches courtes et contrôler avec | display set | count.</w:t>
            </w:r>
          </w:p>
        </w:tc>
      </w:tr>
      <w:tr>
        <w:tc>
          <w:tcPr>
            <w:tcW w:w="2900" w:type="dxa"/>
            <w:tcMar>
              <w:top w:w="70" w:type="dxa"/>
              <w:left w:w="110" w:type="dxa"/>
              <w:bottom w:w="70" w:type="dxa"/>
              <w:right w:w="110" w:type="dxa"/>
            </w:tcMar>
            <w:vAlign w:val="center"/>
          </w:tcPr>
          <w:p>
            <w:pPr>
              <w:spacing w:before="10" w:after="10"/>
            </w:pPr>
            <w:r>
              <w:rPr>
                <w:b/>
                <w:color w:val="1F2A37"/>
                <w:sz w:val="19"/>
                <w:szCs w:val="19"/>
              </w:rPr>
              <w:t xml:space="preserve">family ethernet-switching and family inet cannot coexist</w:t>
            </w:r>
          </w:p>
        </w:tc>
        <w:tc>
          <w:tcPr>
            <w:tcW w:w="3200" w:type="dxa"/>
            <w:tcMar>
              <w:top w:w="70" w:type="dxa"/>
              <w:left w:w="110" w:type="dxa"/>
              <w:bottom w:w="70" w:type="dxa"/>
              <w:right w:w="110" w:type="dxa"/>
            </w:tcMar>
            <w:vAlign w:val="center"/>
          </w:tcPr>
          <w:p>
            <w:pPr>
              <w:spacing w:before="10" w:after="10"/>
            </w:pPr>
            <w:r>
              <w:rPr>
                <w:color w:val="41505F"/>
                <w:sz w:val="19"/>
                <w:szCs w:val="19"/>
              </w:rPr>
              <w:t xml:space="preserve">Configuration d’usine non supprimée sur le port</w:t>
            </w:r>
          </w:p>
        </w:tc>
        <w:tc>
          <w:tcPr>
            <w:tcW w:w="2970" w:type="dxa"/>
            <w:tcMar>
              <w:top w:w="70" w:type="dxa"/>
              <w:left w:w="110" w:type="dxa"/>
              <w:bottom w:w="70" w:type="dxa"/>
              <w:right w:w="110" w:type="dxa"/>
            </w:tcMar>
            <w:vAlign w:val="center"/>
          </w:tcPr>
          <w:p>
            <w:pPr>
              <w:spacing w:before="10" w:after="10"/>
            </w:pPr>
            <w:r>
              <w:rPr>
                <w:color w:val="41505F"/>
                <w:sz w:val="19"/>
                <w:szCs w:val="19"/>
              </w:rPr>
              <w:t xml:space="preserve">delete interfaces ge-0/0/1 unit 0 puis recommencer.</w:t>
            </w:r>
          </w:p>
        </w:tc>
      </w:tr>
      <w:tr>
        <w:tc>
          <w:tcPr>
            <w:tcW w:w="2900" w:type="dxa"/>
            <w:tcMar>
              <w:top w:w="70" w:type="dxa"/>
              <w:left w:w="110" w:type="dxa"/>
              <w:bottom w:w="70" w:type="dxa"/>
              <w:right w:w="110" w:type="dxa"/>
            </w:tcMar>
            <w:vAlign w:val="center"/>
          </w:tcPr>
          <w:p>
            <w:pPr>
              <w:spacing w:before="10" w:after="10"/>
            </w:pPr>
            <w:r>
              <w:rPr>
                <w:b/>
                <w:color w:val="1F2A37"/>
                <w:sz w:val="19"/>
                <w:szCs w:val="19"/>
              </w:rPr>
              <w:t xml:space="preserve">Missing mandatory statement: root-authentication</w:t>
            </w:r>
          </w:p>
        </w:tc>
        <w:tc>
          <w:tcPr>
            <w:tcW w:w="3200" w:type="dxa"/>
            <w:tcMar>
              <w:top w:w="70" w:type="dxa"/>
              <w:left w:w="110" w:type="dxa"/>
              <w:bottom w:w="70" w:type="dxa"/>
              <w:right w:w="110" w:type="dxa"/>
            </w:tcMar>
            <w:vAlign w:val="center"/>
          </w:tcPr>
          <w:p>
            <w:pPr>
              <w:spacing w:before="10" w:after="10"/>
            </w:pPr>
            <w:r>
              <w:rPr>
                <w:color w:val="41505F"/>
                <w:sz w:val="19"/>
                <w:szCs w:val="19"/>
              </w:rPr>
              <w:t xml:space="preserve">Mot de passe root non défini</w:t>
            </w:r>
          </w:p>
        </w:tc>
        <w:tc>
          <w:tcPr>
            <w:tcW w:w="2970" w:type="dxa"/>
            <w:tcMar>
              <w:top w:w="70" w:type="dxa"/>
              <w:left w:w="110" w:type="dxa"/>
              <w:bottom w:w="70" w:type="dxa"/>
              <w:right w:w="110" w:type="dxa"/>
            </w:tcMar>
            <w:vAlign w:val="center"/>
          </w:tcPr>
          <w:p>
            <w:pPr>
              <w:spacing w:before="10" w:after="10"/>
            </w:pPr>
            <w:r>
              <w:rPr>
                <w:color w:val="41505F"/>
                <w:sz w:val="19"/>
                <w:szCs w:val="19"/>
              </w:rPr>
              <w:t xml:space="preserve">Exécuter l’étape 3 avant tout commit.</w:t>
            </w:r>
          </w:p>
        </w:tc>
      </w:tr>
      <w:tr>
        <w:tc>
          <w:tcPr>
            <w:tcW w:w="2900" w:type="dxa"/>
            <w:tcMar>
              <w:top w:w="70" w:type="dxa"/>
              <w:left w:w="110" w:type="dxa"/>
              <w:bottom w:w="70" w:type="dxa"/>
              <w:right w:w="110" w:type="dxa"/>
            </w:tcMar>
            <w:vAlign w:val="center"/>
          </w:tcPr>
          <w:p>
            <w:pPr>
              <w:spacing w:before="10" w:after="10"/>
            </w:pPr>
            <w:r>
              <w:rPr>
                <w:b/>
                <w:color w:val="1F2A37"/>
                <w:sz w:val="19"/>
                <w:szCs w:val="19"/>
              </w:rPr>
              <w:t xml:space="preserve">Missing mandatory statement: match-clients</w:t>
            </w:r>
          </w:p>
        </w:tc>
        <w:tc>
          <w:tcPr>
            <w:tcW w:w="3200" w:type="dxa"/>
            <w:tcMar>
              <w:top w:w="70" w:type="dxa"/>
              <w:left w:w="110" w:type="dxa"/>
              <w:bottom w:w="70" w:type="dxa"/>
              <w:right w:w="110" w:type="dxa"/>
            </w:tcMar>
            <w:vAlign w:val="center"/>
          </w:tcPr>
          <w:p>
            <w:pPr>
              <w:spacing w:before="10" w:after="10"/>
            </w:pPr>
            <w:r>
              <w:rPr>
                <w:color w:val="41505F"/>
                <w:sz w:val="19"/>
                <w:szCs w:val="19"/>
              </w:rPr>
              <w:t xml:space="preserve">Vue du relais DNS sans liste de clients</w:t>
            </w:r>
          </w:p>
        </w:tc>
        <w:tc>
          <w:tcPr>
            <w:tcW w:w="2970" w:type="dxa"/>
            <w:tcMar>
              <w:top w:w="70" w:type="dxa"/>
              <w:left w:w="110" w:type="dxa"/>
              <w:bottom w:w="70" w:type="dxa"/>
              <w:right w:w="110" w:type="dxa"/>
            </w:tcMar>
            <w:vAlign w:val="center"/>
          </w:tcPr>
          <w:p>
            <w:pPr>
              <w:spacing w:before="10" w:after="10"/>
            </w:pPr>
            <w:r>
              <w:rPr>
                <w:color w:val="41505F"/>
                <w:sz w:val="19"/>
                <w:szCs w:val="19"/>
              </w:rPr>
              <w:t xml:space="preserve">Déclarer les préfixes IP desservis, pas les interfaces.</w:t>
            </w:r>
          </w:p>
        </w:tc>
      </w:tr>
      <w:tr>
        <w:tc>
          <w:tcPr>
            <w:tcW w:w="2900" w:type="dxa"/>
            <w:tcMar>
              <w:top w:w="70" w:type="dxa"/>
              <w:left w:w="110" w:type="dxa"/>
              <w:bottom w:w="70" w:type="dxa"/>
              <w:right w:w="110" w:type="dxa"/>
            </w:tcMar>
            <w:vAlign w:val="center"/>
          </w:tcPr>
          <w:p>
            <w:pPr>
              <w:spacing w:before="10" w:after="10"/>
            </w:pPr>
            <w:r>
              <w:rPr>
                <w:b/>
                <w:color w:val="1F2A37"/>
                <w:sz w:val="19"/>
                <w:szCs w:val="19"/>
              </w:rPr>
              <w:t xml:space="preserve">Incompatible with the dhcp-local-server</w:t>
            </w:r>
          </w:p>
        </w:tc>
        <w:tc>
          <w:tcPr>
            <w:tcW w:w="3200" w:type="dxa"/>
            <w:tcMar>
              <w:top w:w="70" w:type="dxa"/>
              <w:left w:w="110" w:type="dxa"/>
              <w:bottom w:w="70" w:type="dxa"/>
              <w:right w:w="110" w:type="dxa"/>
            </w:tcMar>
            <w:vAlign w:val="center"/>
          </w:tcPr>
          <w:p>
            <w:pPr>
              <w:spacing w:before="10" w:after="10"/>
            </w:pPr>
            <w:r>
              <w:rPr>
                <w:color w:val="41505F"/>
                <w:sz w:val="19"/>
                <w:szCs w:val="19"/>
              </w:rPr>
              <w:t xml:space="preserve">Port WAN déclaré en family inet dhcp</w:t>
            </w:r>
          </w:p>
        </w:tc>
        <w:tc>
          <w:tcPr>
            <w:tcW w:w="2970" w:type="dxa"/>
            <w:tcMar>
              <w:top w:w="70" w:type="dxa"/>
              <w:left w:w="110" w:type="dxa"/>
              <w:bottom w:w="70" w:type="dxa"/>
              <w:right w:w="110" w:type="dxa"/>
            </w:tcMar>
            <w:vAlign w:val="center"/>
          </w:tcPr>
          <w:p>
            <w:pPr>
              <w:spacing w:before="10" w:after="10"/>
            </w:pPr>
            <w:r>
              <w:rPr>
                <w:color w:val="41505F"/>
                <w:sz w:val="19"/>
                <w:szCs w:val="19"/>
              </w:rPr>
              <w:t xml:space="preserve">Utiliser family inet dhcp-client.</w:t>
            </w:r>
          </w:p>
        </w:tc>
      </w:tr>
      <w:tr>
        <w:tc>
          <w:tcPr>
            <w:tcW w:w="2900" w:type="dxa"/>
            <w:tcMar>
              <w:top w:w="70" w:type="dxa"/>
              <w:left w:w="110" w:type="dxa"/>
              <w:bottom w:w="70" w:type="dxa"/>
              <w:right w:w="110" w:type="dxa"/>
            </w:tcMar>
            <w:vAlign w:val="center"/>
          </w:tcPr>
          <w:p>
            <w:pPr>
              <w:spacing w:before="10" w:after="10"/>
            </w:pPr>
            <w:r>
              <w:rPr>
                <w:b/>
                <w:color w:val="1F2A37"/>
                <w:sz w:val="19"/>
                <w:szCs w:val="19"/>
              </w:rPr>
              <w:t xml:space="preserve">Politique rejetée au commit</w:t>
            </w:r>
          </w:p>
        </w:tc>
        <w:tc>
          <w:tcPr>
            <w:tcW w:w="3200" w:type="dxa"/>
            <w:tcMar>
              <w:top w:w="70" w:type="dxa"/>
              <w:left w:w="110" w:type="dxa"/>
              <w:bottom w:w="70" w:type="dxa"/>
              <w:right w:w="110" w:type="dxa"/>
            </w:tcMar>
            <w:vAlign w:val="center"/>
          </w:tcPr>
          <w:p>
            <w:pPr>
              <w:spacing w:before="10" w:after="10"/>
            </w:pPr>
            <w:r>
              <w:rPr>
                <w:color w:val="41505F"/>
                <w:sz w:val="19"/>
                <w:szCs w:val="19"/>
              </w:rPr>
              <w:t xml:space="preserve">Ligne then permit perdue au collage</w:t>
            </w:r>
          </w:p>
        </w:tc>
        <w:tc>
          <w:tcPr>
            <w:tcW w:w="2970" w:type="dxa"/>
            <w:tcMar>
              <w:top w:w="70" w:type="dxa"/>
              <w:left w:w="110" w:type="dxa"/>
              <w:bottom w:w="70" w:type="dxa"/>
              <w:right w:w="110" w:type="dxa"/>
            </w:tcMar>
            <w:vAlign w:val="center"/>
          </w:tcPr>
          <w:p>
            <w:pPr>
              <w:spacing w:before="10" w:after="10"/>
            </w:pPr>
            <w:r>
              <w:rPr>
                <w:color w:val="41505F"/>
                <w:sz w:val="19"/>
                <w:szCs w:val="19"/>
              </w:rPr>
              <w:t xml:space="preserve">Relire la politique par show security policies from-zone X to-zone Y.</w:t>
            </w:r>
          </w:p>
        </w:tc>
      </w:tr>
    </w:tbl>
    <w:p>
      <w:pPr>
        <w:spacing w:after="0"/>
      </w:pPr>
    </w:p>
    <w:p>
      <w:pPr>
        <w:pBdr>
          <w:left w:val="single" w:sz="36" w:space="8" w:color="A9710F"/>
        </w:pBdr>
        <w:shd w:val="clear" w:color="auto" w:fill="FBF2E3"/>
        <w:spacing w:before="120" w:after="140" w:line="276" w:lineRule="auto"/>
        <w:ind w:left="140"/>
      </w:pPr>
      <w:r>
        <w:rPr>
          <w:b/>
          <w:caps/>
          <w:color w:val="A9710F"/>
          <w:sz w:val="17"/>
          <w:szCs w:val="17"/>
        </w:rPr>
        <w:t xml:space="preserve">Attention   </w:t>
      </w:r>
      <w:r>
        <w:rPr>
          <w:b/>
          <w:color w:val="1F2A37"/>
          <w:sz w:val="21"/>
          <w:szCs w:val="21"/>
        </w:rPr>
        <w:t xml:space="preserve">Route par défaut. </w:t>
      </w:r>
      <w:r>
        <w:rPr>
          <w:color w:val="7A5409"/>
          <w:sz w:val="21"/>
          <w:szCs w:val="21"/>
        </w:rPr>
        <w:t xml:space="preserve">Une route statique 0.0.0.0/0 saisie manuellement fait double emploi avec celle installée par le client DHCP et peut masquer une défaillance du bail. Contrôler par show route 0.0.0.0/0 et ne conserver que la route apprise. Point à tester sur l’installation avant clôture de la procédure.</w:t>
      </w:r>
    </w:p>
    <w:p>
      <w:pPr>
        <w:keepNext/>
        <w:pageBreakBefore/>
        <w:spacing w:before="300" w:after="140"/>
      </w:pPr>
      <w:r>
        <w:rPr>
          <w:b/>
          <w:color w:val="2E75B6"/>
          <w:sz w:val="30"/>
          <w:szCs w:val="30"/>
        </w:rPr>
        <w:t xml:space="preserve">5    </w:t>
      </w:r>
      <w:r>
        <w:rPr>
          <w:b/>
          <w:color w:val="1F2A37"/>
          <w:sz w:val="30"/>
          <w:szCs w:val="30"/>
        </w:rPr>
        <w:t xml:space="preserve">Intégration réseau</w:t>
      </w:r>
    </w:p>
    <w:p>
      <w:pPr>
        <w:keepNext/>
        <w:spacing w:before="200" w:after="70"/>
      </w:pPr>
      <w:r>
        <w:rPr>
          <w:b/>
          <w:color w:val="245D92"/>
          <w:sz w:val="23"/>
          <w:szCs w:val="23"/>
        </w:rPr>
        <w:t xml:space="preserve">Interface fournisseur</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2600"/>
        <w:gridCol w:w="6470"/>
      </w:tblGrid>
      <w:tr>
        <w:tc>
          <w:tcPr>
            <w:tcW w:w="26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Élément</w:t>
            </w:r>
          </w:p>
        </w:tc>
        <w:tc>
          <w:tcPr>
            <w:tcW w:w="647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Valeur</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Interface</w:t>
            </w:r>
          </w:p>
        </w:tc>
        <w:tc>
          <w:tcPr>
            <w:tcW w:w="64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ge-0/0/0 (unit 0)</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Adressage</w:t>
            </w:r>
          </w:p>
        </w:tc>
        <w:tc>
          <w:tcPr>
            <w:tcW w:w="64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Client DHCP — adresse fournie par le routeur d’accès</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Zone de sécurité</w:t>
            </w:r>
          </w:p>
        </w:tc>
        <w:tc>
          <w:tcPr>
            <w:tcW w:w="64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untrust</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Services entrants autorisés</w:t>
            </w:r>
          </w:p>
        </w:tc>
        <w:tc>
          <w:tcPr>
            <w:tcW w:w="64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dhcp, ping</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Traduction</w:t>
            </w:r>
          </w:p>
        </w:tc>
        <w:tc>
          <w:tcPr>
            <w:tcW w:w="64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Source, masquage derrière l’adresse de l’interface</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Topologie</w:t>
            </w:r>
          </w:p>
        </w:tc>
        <w:tc>
          <w:tcPr>
            <w:tcW w:w="647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Double traduction — le routeur d’accès conserve son propre NAT</w:t>
            </w:r>
          </w:p>
        </w:tc>
      </w:tr>
    </w:tbl>
    <w:p>
      <w:pPr>
        <w:spacing w:after="0"/>
      </w:pPr>
    </w:p>
    <w:p>
      <w:pPr>
        <w:pBdr>
          <w:left w:val="single" w:sz="36" w:space="8" w:color="A9710F"/>
        </w:pBdr>
        <w:shd w:val="clear" w:color="auto" w:fill="FBF2E3"/>
        <w:spacing w:before="120" w:after="140" w:line="276" w:lineRule="auto"/>
        <w:ind w:left="140"/>
      </w:pPr>
      <w:r>
        <w:rPr>
          <w:b/>
          <w:caps/>
          <w:color w:val="A9710F"/>
          <w:sz w:val="17"/>
          <w:szCs w:val="17"/>
        </w:rPr>
        <w:t xml:space="preserve">Attention   </w:t>
      </w:r>
      <w:r>
        <w:rPr>
          <w:b/>
          <w:color w:val="1F2A37"/>
          <w:sz w:val="21"/>
          <w:szCs w:val="21"/>
        </w:rPr>
        <w:t xml:space="preserve">Double traduction assumée. </w:t>
      </w:r>
      <w:r>
        <w:rPr>
          <w:color w:val="7A5409"/>
          <w:sz w:val="21"/>
          <w:szCs w:val="21"/>
        </w:rPr>
        <w:t xml:space="preserve">Le routeur d’accès n’étant pas commutable en mode pont, le pare-feu reçoit une adresse privée et non l’adresse publique. Conséquences : tout service entrant exige une redirection de port sur le routeur d’accès en plus de la règle sur le pare-feu, l’adresse publique réelle n’est pas observable depuis le pare-feu, et la disponibilité du laboratoire dépend de celle du routeur d’accès. Ces trois points sont consignés comme dettes techniques.</w:t>
      </w:r>
    </w:p>
    <w:p>
      <w:pPr>
        <w:keepNext/>
        <w:spacing w:before="200" w:after="70"/>
      </w:pPr>
      <w:r>
        <w:rPr>
          <w:b/>
          <w:color w:val="245D92"/>
          <w:sz w:val="23"/>
          <w:szCs w:val="23"/>
        </w:rPr>
        <w:t xml:space="preserve">Trunk et sous-interfaces</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1500"/>
        <w:gridCol w:w="1400"/>
        <w:gridCol w:w="2200"/>
        <w:gridCol w:w="2100"/>
        <w:gridCol w:w="1870"/>
      </w:tblGrid>
      <w:tr>
        <w:tc>
          <w:tcPr>
            <w:tcW w:w="15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Sous-interface</w:t>
            </w:r>
          </w:p>
        </w:tc>
        <w:tc>
          <w:tcPr>
            <w:tcW w:w="14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Étiquette</w:t>
            </w:r>
          </w:p>
        </w:tc>
        <w:tc>
          <w:tcPr>
            <w:tcW w:w="22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Adresse / CIDR</w:t>
            </w:r>
          </w:p>
        </w:tc>
        <w:tc>
          <w:tcPr>
            <w:tcW w:w="21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Zone</w:t>
            </w:r>
          </w:p>
        </w:tc>
        <w:tc>
          <w:tcPr>
            <w:tcW w:w="187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Relais DNS</w:t>
            </w:r>
          </w:p>
        </w:tc>
      </w:tr>
      <w:tr>
        <w:tc>
          <w:tcPr>
            <w:tcW w:w="150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ge-0/0/1.10</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10</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10.10.10.254/24</w:t>
            </w:r>
          </w:p>
        </w:tc>
        <w:tc>
          <w:tcPr>
            <w:tcW w:w="2100" w:type="dxa"/>
            <w:tcMar>
              <w:top w:w="70" w:type="dxa"/>
              <w:left w:w="110" w:type="dxa"/>
              <w:bottom w:w="70" w:type="dxa"/>
              <w:right w:w="110" w:type="dxa"/>
            </w:tcMar>
            <w:vAlign w:val="center"/>
          </w:tcPr>
          <w:p>
            <w:pPr>
              <w:spacing w:before="10" w:after="10"/>
            </w:pPr>
            <w:r>
              <w:rPr>
                <w:color w:val="41505F"/>
                <w:sz w:val="19"/>
                <w:szCs w:val="19"/>
              </w:rPr>
              <w:t xml:space="preserve">adm</w:t>
            </w:r>
          </w:p>
        </w:tc>
        <w:tc>
          <w:tcPr>
            <w:tcW w:w="1870" w:type="dxa"/>
            <w:tcMar>
              <w:top w:w="70" w:type="dxa"/>
              <w:left w:w="110" w:type="dxa"/>
              <w:bottom w:w="70" w:type="dxa"/>
              <w:right w:w="110" w:type="dxa"/>
            </w:tcMar>
            <w:vAlign w:val="center"/>
          </w:tcPr>
          <w:p>
            <w:pPr>
              <w:spacing w:before="10" w:after="10"/>
            </w:pPr>
            <w:r>
              <w:rPr>
                <w:color w:val="41505F"/>
                <w:sz w:val="19"/>
                <w:szCs w:val="19"/>
              </w:rPr>
              <w:t xml:space="preserve">Oui</w:t>
            </w:r>
          </w:p>
        </w:tc>
      </w:tr>
      <w:tr>
        <w:tc>
          <w:tcPr>
            <w:tcW w:w="150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ge-0/0/1.20</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20</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10.10.20.254/24</w:t>
            </w:r>
          </w:p>
        </w:tc>
        <w:tc>
          <w:tcPr>
            <w:tcW w:w="2100" w:type="dxa"/>
            <w:tcMar>
              <w:top w:w="70" w:type="dxa"/>
              <w:left w:w="110" w:type="dxa"/>
              <w:bottom w:w="70" w:type="dxa"/>
              <w:right w:w="110" w:type="dxa"/>
            </w:tcMar>
            <w:vAlign w:val="center"/>
          </w:tcPr>
          <w:p>
            <w:pPr>
              <w:spacing w:before="10" w:after="10"/>
            </w:pPr>
            <w:r>
              <w:rPr>
                <w:color w:val="41505F"/>
                <w:sz w:val="19"/>
                <w:szCs w:val="19"/>
              </w:rPr>
              <w:t xml:space="preserve">srv</w:t>
            </w:r>
          </w:p>
        </w:tc>
        <w:tc>
          <w:tcPr>
            <w:tcW w:w="1870" w:type="dxa"/>
            <w:tcMar>
              <w:top w:w="70" w:type="dxa"/>
              <w:left w:w="110" w:type="dxa"/>
              <w:bottom w:w="70" w:type="dxa"/>
              <w:right w:w="110" w:type="dxa"/>
            </w:tcMar>
            <w:vAlign w:val="center"/>
          </w:tcPr>
          <w:p>
            <w:pPr>
              <w:spacing w:before="10" w:after="10"/>
            </w:pPr>
            <w:r>
              <w:rPr>
                <w:color w:val="41505F"/>
                <w:sz w:val="19"/>
                <w:szCs w:val="19"/>
              </w:rPr>
              <w:t xml:space="preserve">Oui</w:t>
            </w:r>
          </w:p>
        </w:tc>
      </w:tr>
      <w:tr>
        <w:tc>
          <w:tcPr>
            <w:tcW w:w="150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ge-0/0/1.30</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30</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10.10.30.254/24</w:t>
            </w:r>
          </w:p>
        </w:tc>
        <w:tc>
          <w:tcPr>
            <w:tcW w:w="2100" w:type="dxa"/>
            <w:tcMar>
              <w:top w:w="70" w:type="dxa"/>
              <w:left w:w="110" w:type="dxa"/>
              <w:bottom w:w="70" w:type="dxa"/>
              <w:right w:w="110" w:type="dxa"/>
            </w:tcMar>
            <w:vAlign w:val="center"/>
          </w:tcPr>
          <w:p>
            <w:pPr>
              <w:spacing w:before="10" w:after="10"/>
            </w:pPr>
            <w:r>
              <w:rPr>
                <w:color w:val="41505F"/>
                <w:sz w:val="19"/>
                <w:szCs w:val="19"/>
              </w:rPr>
              <w:t xml:space="preserve">dmz</w:t>
            </w:r>
          </w:p>
        </w:tc>
        <w:tc>
          <w:tcPr>
            <w:tcW w:w="1870" w:type="dxa"/>
            <w:tcMar>
              <w:top w:w="70" w:type="dxa"/>
              <w:left w:w="110" w:type="dxa"/>
              <w:bottom w:w="70" w:type="dxa"/>
              <w:right w:w="110" w:type="dxa"/>
            </w:tcMar>
            <w:vAlign w:val="center"/>
          </w:tcPr>
          <w:p>
            <w:pPr>
              <w:spacing w:before="10" w:after="10"/>
            </w:pPr>
            <w:r>
              <w:rPr>
                <w:color w:val="41505F"/>
                <w:sz w:val="19"/>
                <w:szCs w:val="19"/>
              </w:rPr>
              <w:t xml:space="preserve">Oui</w:t>
            </w:r>
          </w:p>
        </w:tc>
      </w:tr>
      <w:tr>
        <w:tc>
          <w:tcPr>
            <w:tcW w:w="150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ge-0/0/1.40</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40</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10.10.40.254/24</w:t>
            </w:r>
          </w:p>
        </w:tc>
        <w:tc>
          <w:tcPr>
            <w:tcW w:w="2100" w:type="dxa"/>
            <w:tcMar>
              <w:top w:w="70" w:type="dxa"/>
              <w:left w:w="110" w:type="dxa"/>
              <w:bottom w:w="70" w:type="dxa"/>
              <w:right w:w="110" w:type="dxa"/>
            </w:tcMar>
            <w:vAlign w:val="center"/>
          </w:tcPr>
          <w:p>
            <w:pPr>
              <w:spacing w:before="10" w:after="10"/>
            </w:pPr>
            <w:r>
              <w:rPr>
                <w:color w:val="41505F"/>
                <w:sz w:val="19"/>
                <w:szCs w:val="19"/>
              </w:rPr>
              <w:t xml:space="preserve">cli</w:t>
            </w:r>
          </w:p>
        </w:tc>
        <w:tc>
          <w:tcPr>
            <w:tcW w:w="1870" w:type="dxa"/>
            <w:tcMar>
              <w:top w:w="70" w:type="dxa"/>
              <w:left w:w="110" w:type="dxa"/>
              <w:bottom w:w="70" w:type="dxa"/>
              <w:right w:w="110" w:type="dxa"/>
            </w:tcMar>
            <w:vAlign w:val="center"/>
          </w:tcPr>
          <w:p>
            <w:pPr>
              <w:spacing w:before="10" w:after="10"/>
            </w:pPr>
            <w:r>
              <w:rPr>
                <w:color w:val="41505F"/>
                <w:sz w:val="19"/>
                <w:szCs w:val="19"/>
              </w:rPr>
              <w:t xml:space="preserve">Oui</w:t>
            </w:r>
          </w:p>
        </w:tc>
      </w:tr>
      <w:tr>
        <w:tc>
          <w:tcPr>
            <w:tcW w:w="150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ge-0/0/1.50</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50</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10.10.50.254/24</w:t>
            </w:r>
          </w:p>
        </w:tc>
        <w:tc>
          <w:tcPr>
            <w:tcW w:w="2100" w:type="dxa"/>
            <w:tcMar>
              <w:top w:w="70" w:type="dxa"/>
              <w:left w:w="110" w:type="dxa"/>
              <w:bottom w:w="70" w:type="dxa"/>
              <w:right w:w="110" w:type="dxa"/>
            </w:tcMar>
            <w:vAlign w:val="center"/>
          </w:tcPr>
          <w:p>
            <w:pPr>
              <w:spacing w:before="10" w:after="10"/>
            </w:pPr>
            <w:r>
              <w:rPr>
                <w:color w:val="41505F"/>
                <w:sz w:val="19"/>
                <w:szCs w:val="19"/>
              </w:rPr>
              <w:t xml:space="preserve">voip</w:t>
            </w:r>
          </w:p>
        </w:tc>
        <w:tc>
          <w:tcPr>
            <w:tcW w:w="1870" w:type="dxa"/>
            <w:tcMar>
              <w:top w:w="70" w:type="dxa"/>
              <w:left w:w="110" w:type="dxa"/>
              <w:bottom w:w="70" w:type="dxa"/>
              <w:right w:w="110" w:type="dxa"/>
            </w:tcMar>
            <w:vAlign w:val="center"/>
          </w:tcPr>
          <w:p>
            <w:pPr>
              <w:spacing w:before="10" w:after="10"/>
            </w:pPr>
            <w:r>
              <w:rPr>
                <w:color w:val="41505F"/>
                <w:sz w:val="19"/>
                <w:szCs w:val="19"/>
              </w:rPr>
              <w:t xml:space="preserve">Non</w:t>
            </w:r>
          </w:p>
        </w:tc>
      </w:tr>
      <w:tr>
        <w:tc>
          <w:tcPr>
            <w:tcW w:w="150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ge-0/0/1.60</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60</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10.10.60.254/24</w:t>
            </w:r>
          </w:p>
        </w:tc>
        <w:tc>
          <w:tcPr>
            <w:tcW w:w="2100" w:type="dxa"/>
            <w:tcMar>
              <w:top w:w="70" w:type="dxa"/>
              <w:left w:w="110" w:type="dxa"/>
              <w:bottom w:w="70" w:type="dxa"/>
              <w:right w:w="110" w:type="dxa"/>
            </w:tcMar>
            <w:vAlign w:val="center"/>
          </w:tcPr>
          <w:p>
            <w:pPr>
              <w:spacing w:before="10" w:after="10"/>
            </w:pPr>
            <w:r>
              <w:rPr>
                <w:color w:val="41505F"/>
                <w:sz w:val="19"/>
                <w:szCs w:val="19"/>
              </w:rPr>
              <w:t xml:space="preserve">dep</w:t>
            </w:r>
          </w:p>
        </w:tc>
        <w:tc>
          <w:tcPr>
            <w:tcW w:w="1870" w:type="dxa"/>
            <w:tcMar>
              <w:top w:w="70" w:type="dxa"/>
              <w:left w:w="110" w:type="dxa"/>
              <w:bottom w:w="70" w:type="dxa"/>
              <w:right w:w="110" w:type="dxa"/>
            </w:tcMar>
            <w:vAlign w:val="center"/>
          </w:tcPr>
          <w:p>
            <w:pPr>
              <w:spacing w:before="10" w:after="10"/>
            </w:pPr>
            <w:r>
              <w:rPr>
                <w:color w:val="41505F"/>
                <w:sz w:val="19"/>
                <w:szCs w:val="19"/>
              </w:rPr>
              <w:t xml:space="preserve">Oui</w:t>
            </w:r>
          </w:p>
        </w:tc>
      </w:tr>
      <w:tr>
        <w:tc>
          <w:tcPr>
            <w:tcW w:w="150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ge-0/0/1.70</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70</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10.10.70.254/24</w:t>
            </w:r>
          </w:p>
        </w:tc>
        <w:tc>
          <w:tcPr>
            <w:tcW w:w="2100" w:type="dxa"/>
            <w:tcMar>
              <w:top w:w="70" w:type="dxa"/>
              <w:left w:w="110" w:type="dxa"/>
              <w:bottom w:w="70" w:type="dxa"/>
              <w:right w:w="110" w:type="dxa"/>
            </w:tcMar>
            <w:vAlign w:val="center"/>
          </w:tcPr>
          <w:p>
            <w:pPr>
              <w:spacing w:before="10" w:after="10"/>
            </w:pPr>
            <w:r>
              <w:rPr>
                <w:color w:val="41505F"/>
                <w:sz w:val="19"/>
                <w:szCs w:val="19"/>
              </w:rPr>
              <w:t xml:space="preserve">wfi</w:t>
            </w:r>
          </w:p>
        </w:tc>
        <w:tc>
          <w:tcPr>
            <w:tcW w:w="1870" w:type="dxa"/>
            <w:tcMar>
              <w:top w:w="70" w:type="dxa"/>
              <w:left w:w="110" w:type="dxa"/>
              <w:bottom w:w="70" w:type="dxa"/>
              <w:right w:w="110" w:type="dxa"/>
            </w:tcMar>
            <w:vAlign w:val="center"/>
          </w:tcPr>
          <w:p>
            <w:pPr>
              <w:spacing w:before="10" w:after="10"/>
            </w:pPr>
            <w:r>
              <w:rPr>
                <w:color w:val="41505F"/>
                <w:sz w:val="19"/>
                <w:szCs w:val="19"/>
              </w:rPr>
              <w:t xml:space="preserve">Oui</w:t>
            </w:r>
          </w:p>
        </w:tc>
      </w:tr>
      <w:tr>
        <w:tc>
          <w:tcPr>
            <w:tcW w:w="150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ge-0/0/1.80</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80</w:t>
            </w:r>
          </w:p>
        </w:tc>
        <w:tc>
          <w:tcPr>
            <w:tcW w:w="22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10.10.80.254/24</w:t>
            </w:r>
          </w:p>
        </w:tc>
        <w:tc>
          <w:tcPr>
            <w:tcW w:w="2100" w:type="dxa"/>
            <w:tcMar>
              <w:top w:w="70" w:type="dxa"/>
              <w:left w:w="110" w:type="dxa"/>
              <w:bottom w:w="70" w:type="dxa"/>
              <w:right w:w="110" w:type="dxa"/>
            </w:tcMar>
            <w:vAlign w:val="center"/>
          </w:tcPr>
          <w:p>
            <w:pPr>
              <w:spacing w:before="10" w:after="10"/>
            </w:pPr>
            <w:r>
              <w:rPr>
                <w:color w:val="41505F"/>
                <w:sz w:val="19"/>
                <w:szCs w:val="19"/>
              </w:rPr>
              <w:t xml:space="preserve">lab</w:t>
            </w:r>
          </w:p>
        </w:tc>
        <w:tc>
          <w:tcPr>
            <w:tcW w:w="1870" w:type="dxa"/>
            <w:tcMar>
              <w:top w:w="70" w:type="dxa"/>
              <w:left w:w="110" w:type="dxa"/>
              <w:bottom w:w="70" w:type="dxa"/>
              <w:right w:w="110" w:type="dxa"/>
            </w:tcMar>
            <w:vAlign w:val="center"/>
          </w:tcPr>
          <w:p>
            <w:pPr>
              <w:spacing w:before="10" w:after="10"/>
            </w:pPr>
            <w:r>
              <w:rPr>
                <w:color w:val="41505F"/>
                <w:sz w:val="19"/>
                <w:szCs w:val="19"/>
              </w:rPr>
              <w:t xml:space="preserve">Oui</w:t>
            </w:r>
          </w:p>
        </w:tc>
      </w:tr>
    </w:tbl>
    <w:p>
      <w:pPr>
        <w:spacing w:after="0"/>
      </w:pPr>
    </w:p>
    <w:p>
      <w:pPr>
        <w:keepNext/>
        <w:spacing w:before="200" w:after="70"/>
      </w:pPr>
      <w:r>
        <w:rPr>
          <w:b/>
          <w:color w:val="245D92"/>
          <w:sz w:val="23"/>
          <w:szCs w:val="23"/>
        </w:rPr>
        <w:t xml:space="preserve">Matrice de flux</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1800"/>
        <w:gridCol w:w="3600"/>
        <w:gridCol w:w="3670"/>
      </w:tblGrid>
      <w:tr>
        <w:tc>
          <w:tcPr>
            <w:tcW w:w="18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Origine</w:t>
            </w:r>
          </w:p>
        </w:tc>
        <w:tc>
          <w:tcPr>
            <w:tcW w:w="36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Destination</w:t>
            </w:r>
          </w:p>
        </w:tc>
        <w:tc>
          <w:tcPr>
            <w:tcW w:w="367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État</w:t>
            </w:r>
          </w:p>
        </w:tc>
      </w:tr>
      <w:tr>
        <w:tc>
          <w:tcPr>
            <w:tcW w:w="1800" w:type="dxa"/>
            <w:tcMar>
              <w:top w:w="70" w:type="dxa"/>
              <w:left w:w="110" w:type="dxa"/>
              <w:bottom w:w="70" w:type="dxa"/>
              <w:right w:w="110" w:type="dxa"/>
            </w:tcMar>
            <w:vAlign w:val="center"/>
          </w:tcPr>
          <w:p>
            <w:pPr>
              <w:spacing w:before="10" w:after="10"/>
            </w:pPr>
            <w:r>
              <w:rPr>
                <w:b/>
                <w:color w:val="1F2A37"/>
                <w:sz w:val="19"/>
                <w:szCs w:val="19"/>
              </w:rPr>
              <w:t xml:space="preserve">adm</w:t>
            </w:r>
          </w:p>
        </w:tc>
        <w:tc>
          <w:tcPr>
            <w:tcW w:w="3600" w:type="dxa"/>
            <w:tcMar>
              <w:top w:w="70" w:type="dxa"/>
              <w:left w:w="110" w:type="dxa"/>
              <w:bottom w:w="70" w:type="dxa"/>
              <w:right w:w="110" w:type="dxa"/>
            </w:tcMar>
            <w:vAlign w:val="center"/>
          </w:tcPr>
          <w:p>
            <w:pPr>
              <w:spacing w:before="10" w:after="10"/>
            </w:pPr>
            <w:r>
              <w:rPr>
                <w:color w:val="41505F"/>
                <w:sz w:val="19"/>
                <w:szCs w:val="19"/>
              </w:rPr>
              <w:t xml:space="preserve">srv, dmz, cli, voip, dep, lab, Internet</w:t>
            </w:r>
          </w:p>
        </w:tc>
        <w:tc>
          <w:tcPr>
            <w:tcW w:w="3670" w:type="dxa"/>
            <w:tcMar>
              <w:top w:w="70" w:type="dxa"/>
              <w:left w:w="110" w:type="dxa"/>
              <w:bottom w:w="70" w:type="dxa"/>
              <w:right w:w="110" w:type="dxa"/>
            </w:tcMar>
            <w:vAlign w:val="center"/>
          </w:tcPr>
          <w:p>
            <w:pPr>
              <w:spacing w:before="10" w:after="10"/>
            </w:pPr>
            <w:r>
              <w:rPr>
                <w:color w:val="41505F"/>
                <w:sz w:val="19"/>
                <w:szCs w:val="19"/>
              </w:rPr>
              <w:t xml:space="preserve">Autorisé sans restriction</w:t>
            </w:r>
          </w:p>
        </w:tc>
      </w:tr>
      <w:tr>
        <w:tc>
          <w:tcPr>
            <w:tcW w:w="1800" w:type="dxa"/>
            <w:tcMar>
              <w:top w:w="70" w:type="dxa"/>
              <w:left w:w="110" w:type="dxa"/>
              <w:bottom w:w="70" w:type="dxa"/>
              <w:right w:w="110" w:type="dxa"/>
            </w:tcMar>
            <w:vAlign w:val="center"/>
          </w:tcPr>
          <w:p>
            <w:pPr>
              <w:spacing w:before="10" w:after="10"/>
            </w:pPr>
            <w:r>
              <w:rPr>
                <w:b/>
                <w:color w:val="1F2A37"/>
                <w:sz w:val="19"/>
                <w:szCs w:val="19"/>
              </w:rPr>
              <w:t xml:space="preserve">adm, srv, dmz, cli, lab</w:t>
            </w:r>
          </w:p>
        </w:tc>
        <w:tc>
          <w:tcPr>
            <w:tcW w:w="3600" w:type="dxa"/>
            <w:tcMar>
              <w:top w:w="70" w:type="dxa"/>
              <w:left w:w="110" w:type="dxa"/>
              <w:bottom w:w="70" w:type="dxa"/>
              <w:right w:w="110" w:type="dxa"/>
            </w:tcMar>
            <w:vAlign w:val="center"/>
          </w:tcPr>
          <w:p>
            <w:pPr>
              <w:spacing w:before="10" w:after="10"/>
            </w:pPr>
            <w:r>
              <w:rPr>
                <w:color w:val="41505F"/>
                <w:sz w:val="19"/>
                <w:szCs w:val="19"/>
              </w:rPr>
              <w:t xml:space="preserve">Même zone</w:t>
            </w:r>
          </w:p>
        </w:tc>
        <w:tc>
          <w:tcPr>
            <w:tcW w:w="3670" w:type="dxa"/>
            <w:tcMar>
              <w:top w:w="70" w:type="dxa"/>
              <w:left w:w="110" w:type="dxa"/>
              <w:bottom w:w="70" w:type="dxa"/>
              <w:right w:w="110" w:type="dxa"/>
            </w:tcMar>
            <w:vAlign w:val="center"/>
          </w:tcPr>
          <w:p>
            <w:pPr>
              <w:spacing w:before="10" w:after="10"/>
            </w:pPr>
            <w:r>
              <w:rPr>
                <w:color w:val="41505F"/>
                <w:sz w:val="19"/>
                <w:szCs w:val="19"/>
              </w:rPr>
              <w:t xml:space="preserve">Autorisé — communication interne au VLAN</w:t>
            </w:r>
          </w:p>
        </w:tc>
      </w:tr>
      <w:tr>
        <w:tc>
          <w:tcPr>
            <w:tcW w:w="1800" w:type="dxa"/>
            <w:tcMar>
              <w:top w:w="70" w:type="dxa"/>
              <w:left w:w="110" w:type="dxa"/>
              <w:bottom w:w="70" w:type="dxa"/>
              <w:right w:w="110" w:type="dxa"/>
            </w:tcMar>
            <w:vAlign w:val="center"/>
          </w:tcPr>
          <w:p>
            <w:pPr>
              <w:spacing w:before="10" w:after="10"/>
            </w:pPr>
            <w:r>
              <w:rPr>
                <w:b/>
                <w:color w:val="1F2A37"/>
                <w:sz w:val="19"/>
                <w:szCs w:val="19"/>
              </w:rPr>
              <w:t xml:space="preserve">srv, dmz, cli, voip, dep, wfi, lab</w:t>
            </w:r>
          </w:p>
        </w:tc>
        <w:tc>
          <w:tcPr>
            <w:tcW w:w="3600" w:type="dxa"/>
            <w:tcMar>
              <w:top w:w="70" w:type="dxa"/>
              <w:left w:w="110" w:type="dxa"/>
              <w:bottom w:w="70" w:type="dxa"/>
              <w:right w:w="110" w:type="dxa"/>
            </w:tcMar>
            <w:vAlign w:val="center"/>
          </w:tcPr>
          <w:p>
            <w:pPr>
              <w:spacing w:before="10" w:after="10"/>
            </w:pPr>
            <w:r>
              <w:rPr>
                <w:color w:val="41505F"/>
                <w:sz w:val="19"/>
                <w:szCs w:val="19"/>
              </w:rPr>
              <w:t xml:space="preserve">Internet</w:t>
            </w:r>
          </w:p>
        </w:tc>
        <w:tc>
          <w:tcPr>
            <w:tcW w:w="3670" w:type="dxa"/>
            <w:tcMar>
              <w:top w:w="70" w:type="dxa"/>
              <w:left w:w="110" w:type="dxa"/>
              <w:bottom w:w="70" w:type="dxa"/>
              <w:right w:w="110" w:type="dxa"/>
            </w:tcMar>
            <w:vAlign w:val="center"/>
          </w:tcPr>
          <w:p>
            <w:pPr>
              <w:spacing w:before="10" w:after="10"/>
            </w:pPr>
            <w:r>
              <w:rPr>
                <w:color w:val="41505F"/>
                <w:sz w:val="19"/>
                <w:szCs w:val="19"/>
              </w:rPr>
              <w:t xml:space="preserve">Autorisé, traduit en sortie</w:t>
            </w:r>
          </w:p>
        </w:tc>
      </w:tr>
      <w:tr>
        <w:tc>
          <w:tcPr>
            <w:tcW w:w="1800" w:type="dxa"/>
            <w:tcMar>
              <w:top w:w="70" w:type="dxa"/>
              <w:left w:w="110" w:type="dxa"/>
              <w:bottom w:w="70" w:type="dxa"/>
              <w:right w:w="110" w:type="dxa"/>
            </w:tcMar>
            <w:vAlign w:val="center"/>
          </w:tcPr>
          <w:p>
            <w:pPr>
              <w:spacing w:before="10" w:after="10"/>
            </w:pPr>
            <w:r>
              <w:rPr>
                <w:b/>
                <w:color w:val="1F2A37"/>
                <w:sz w:val="19"/>
                <w:szCs w:val="19"/>
              </w:rPr>
              <w:t xml:space="preserve">Toute zone</w:t>
            </w:r>
          </w:p>
        </w:tc>
        <w:tc>
          <w:tcPr>
            <w:tcW w:w="3600" w:type="dxa"/>
            <w:tcMar>
              <w:top w:w="70" w:type="dxa"/>
              <w:left w:w="110" w:type="dxa"/>
              <w:bottom w:w="70" w:type="dxa"/>
              <w:right w:w="110" w:type="dxa"/>
            </w:tcMar>
            <w:vAlign w:val="center"/>
          </w:tcPr>
          <w:p>
            <w:pPr>
              <w:spacing w:before="10" w:after="10"/>
            </w:pPr>
            <w:r>
              <w:rPr>
                <w:color w:val="41505F"/>
                <w:sz w:val="19"/>
                <w:szCs w:val="19"/>
              </w:rPr>
              <w:t xml:space="preserve">adm</w:t>
            </w:r>
          </w:p>
        </w:tc>
        <w:tc>
          <w:tcPr>
            <w:tcW w:w="3670" w:type="dxa"/>
            <w:tcMar>
              <w:top w:w="70" w:type="dxa"/>
              <w:left w:w="110" w:type="dxa"/>
              <w:bottom w:w="70" w:type="dxa"/>
              <w:right w:w="110" w:type="dxa"/>
            </w:tcMar>
            <w:vAlign w:val="center"/>
          </w:tcPr>
          <w:p>
            <w:pPr>
              <w:spacing w:before="10" w:after="10"/>
            </w:pPr>
            <w:r>
              <w:rPr>
                <w:color w:val="41505F"/>
                <w:sz w:val="19"/>
                <w:szCs w:val="19"/>
              </w:rPr>
              <w:t xml:space="preserve">Bloqué — aucune politique entrante</w:t>
            </w:r>
          </w:p>
        </w:tc>
      </w:tr>
      <w:tr>
        <w:tc>
          <w:tcPr>
            <w:tcW w:w="1800" w:type="dxa"/>
            <w:tcMar>
              <w:top w:w="70" w:type="dxa"/>
              <w:left w:w="110" w:type="dxa"/>
              <w:bottom w:w="70" w:type="dxa"/>
              <w:right w:w="110" w:type="dxa"/>
            </w:tcMar>
            <w:vAlign w:val="center"/>
          </w:tcPr>
          <w:p>
            <w:pPr>
              <w:spacing w:before="10" w:after="10"/>
            </w:pPr>
            <w:r>
              <w:rPr>
                <w:b/>
                <w:color w:val="1F2A37"/>
                <w:sz w:val="19"/>
                <w:szCs w:val="19"/>
              </w:rPr>
              <w:t xml:space="preserve">wfi</w:t>
            </w:r>
          </w:p>
        </w:tc>
        <w:tc>
          <w:tcPr>
            <w:tcW w:w="3600" w:type="dxa"/>
            <w:tcMar>
              <w:top w:w="70" w:type="dxa"/>
              <w:left w:w="110" w:type="dxa"/>
              <w:bottom w:w="70" w:type="dxa"/>
              <w:right w:w="110" w:type="dxa"/>
            </w:tcMar>
            <w:vAlign w:val="center"/>
          </w:tcPr>
          <w:p>
            <w:pPr>
              <w:spacing w:before="10" w:after="10"/>
            </w:pPr>
            <w:r>
              <w:rPr>
                <w:color w:val="41505F"/>
                <w:sz w:val="19"/>
                <w:szCs w:val="19"/>
              </w:rPr>
              <w:t xml:space="preserve">Toute zone interne</w:t>
            </w:r>
          </w:p>
        </w:tc>
        <w:tc>
          <w:tcPr>
            <w:tcW w:w="3670" w:type="dxa"/>
            <w:tcMar>
              <w:top w:w="70" w:type="dxa"/>
              <w:left w:w="110" w:type="dxa"/>
              <w:bottom w:w="70" w:type="dxa"/>
              <w:right w:w="110" w:type="dxa"/>
            </w:tcMar>
            <w:vAlign w:val="center"/>
          </w:tcPr>
          <w:p>
            <w:pPr>
              <w:spacing w:before="10" w:after="10"/>
            </w:pPr>
            <w:r>
              <w:rPr>
                <w:color w:val="41505F"/>
                <w:sz w:val="19"/>
                <w:szCs w:val="19"/>
              </w:rPr>
              <w:t xml:space="preserve">Bloqué</w:t>
            </w:r>
          </w:p>
        </w:tc>
      </w:tr>
      <w:tr>
        <w:tc>
          <w:tcPr>
            <w:tcW w:w="1800" w:type="dxa"/>
            <w:tcMar>
              <w:top w:w="70" w:type="dxa"/>
              <w:left w:w="110" w:type="dxa"/>
              <w:bottom w:w="70" w:type="dxa"/>
              <w:right w:w="110" w:type="dxa"/>
            </w:tcMar>
            <w:vAlign w:val="center"/>
          </w:tcPr>
          <w:p>
            <w:pPr>
              <w:spacing w:before="10" w:after="10"/>
            </w:pPr>
            <w:r>
              <w:rPr>
                <w:b/>
                <w:color w:val="1F2A37"/>
                <w:sz w:val="19"/>
                <w:szCs w:val="19"/>
              </w:rPr>
              <w:t xml:space="preserve">Autres couples de zones</w:t>
            </w:r>
          </w:p>
        </w:tc>
        <w:tc>
          <w:tcPr>
            <w:tcW w:w="3600" w:type="dxa"/>
            <w:tcMar>
              <w:top w:w="70" w:type="dxa"/>
              <w:left w:w="110" w:type="dxa"/>
              <w:bottom w:w="70" w:type="dxa"/>
              <w:right w:w="110" w:type="dxa"/>
            </w:tcMar>
            <w:vAlign w:val="center"/>
          </w:tcPr>
          <w:p>
            <w:pPr>
              <w:spacing w:before="10" w:after="10"/>
            </w:pPr>
            <w:r>
              <w:rPr>
                <w:color w:val="41505F"/>
                <w:sz w:val="19"/>
                <w:szCs w:val="19"/>
              </w:rPr>
              <w:t xml:space="preserve">—</w:t>
            </w:r>
          </w:p>
        </w:tc>
        <w:tc>
          <w:tcPr>
            <w:tcW w:w="3670" w:type="dxa"/>
            <w:tcMar>
              <w:top w:w="70" w:type="dxa"/>
              <w:left w:w="110" w:type="dxa"/>
              <w:bottom w:w="70" w:type="dxa"/>
              <w:right w:w="110" w:type="dxa"/>
            </w:tcMar>
            <w:vAlign w:val="center"/>
          </w:tcPr>
          <w:p>
            <w:pPr>
              <w:spacing w:before="10" w:after="10"/>
            </w:pPr>
            <w:r>
              <w:rPr>
                <w:color w:val="41505F"/>
                <w:sz w:val="19"/>
                <w:szCs w:val="19"/>
              </w:rPr>
              <w:t xml:space="preserve">Bloqué par défaut, à ouvrir service par service</w:t>
            </w:r>
          </w:p>
        </w:tc>
      </w:tr>
    </w:tbl>
    <w:p>
      <w:pPr>
        <w:spacing w:after="0"/>
      </w:pPr>
    </w:p>
    <w:p>
      <w:pPr>
        <w:keepNext/>
        <w:spacing w:before="200" w:after="70"/>
      </w:pPr>
      <w:r>
        <w:rPr>
          <w:b/>
          <w:color w:val="245D92"/>
          <w:sz w:val="23"/>
          <w:szCs w:val="23"/>
        </w:rPr>
        <w:t xml:space="preserve">Services rendus par le pare-feu</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2400"/>
        <w:gridCol w:w="1500"/>
        <w:gridCol w:w="5170"/>
      </w:tblGrid>
      <w:tr>
        <w:tc>
          <w:tcPr>
            <w:tcW w:w="24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Service</w:t>
            </w:r>
          </w:p>
        </w:tc>
        <w:tc>
          <w:tcPr>
            <w:tcW w:w="15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Port</w:t>
            </w:r>
          </w:p>
        </w:tc>
        <w:tc>
          <w:tcPr>
            <w:tcW w:w="517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Portée</w:t>
            </w:r>
          </w:p>
        </w:tc>
      </w:tr>
      <w:tr>
        <w:tc>
          <w:tcPr>
            <w:tcW w:w="2400" w:type="dxa"/>
            <w:tcMar>
              <w:top w:w="70" w:type="dxa"/>
              <w:left w:w="110" w:type="dxa"/>
              <w:bottom w:w="70" w:type="dxa"/>
              <w:right w:w="110" w:type="dxa"/>
            </w:tcMar>
            <w:vAlign w:val="center"/>
          </w:tcPr>
          <w:p>
            <w:pPr>
              <w:spacing w:before="10" w:after="10"/>
            </w:pPr>
            <w:r>
              <w:rPr>
                <w:b/>
                <w:color w:val="1F2A37"/>
                <w:sz w:val="19"/>
                <w:szCs w:val="19"/>
              </w:rPr>
              <w:t xml:space="preserve">DHCP</w:t>
            </w:r>
          </w:p>
        </w:tc>
        <w:tc>
          <w:tcPr>
            <w:tcW w:w="15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67/UDP</w:t>
            </w:r>
          </w:p>
        </w:tc>
        <w:tc>
          <w:tcPr>
            <w:tcW w:w="5170" w:type="dxa"/>
            <w:tcMar>
              <w:top w:w="70" w:type="dxa"/>
              <w:left w:w="110" w:type="dxa"/>
              <w:bottom w:w="70" w:type="dxa"/>
              <w:right w:w="110" w:type="dxa"/>
            </w:tcMar>
            <w:vAlign w:val="center"/>
          </w:tcPr>
          <w:p>
            <w:pPr>
              <w:spacing w:before="10" w:after="10"/>
            </w:pPr>
            <w:r>
              <w:rPr>
                <w:color w:val="41505F"/>
                <w:sz w:val="19"/>
                <w:szCs w:val="19"/>
              </w:rPr>
              <w:t xml:space="preserve">Huit VLAN, plage .100 à .199, passerelle et serveur de noms fournis</w:t>
            </w:r>
          </w:p>
        </w:tc>
      </w:tr>
      <w:tr>
        <w:tc>
          <w:tcPr>
            <w:tcW w:w="2400" w:type="dxa"/>
            <w:tcMar>
              <w:top w:w="70" w:type="dxa"/>
              <w:left w:w="110" w:type="dxa"/>
              <w:bottom w:w="70" w:type="dxa"/>
              <w:right w:w="110" w:type="dxa"/>
            </w:tcMar>
            <w:vAlign w:val="center"/>
          </w:tcPr>
          <w:p>
            <w:pPr>
              <w:spacing w:before="10" w:after="10"/>
            </w:pPr>
            <w:r>
              <w:rPr>
                <w:b/>
                <w:color w:val="1F2A37"/>
                <w:sz w:val="19"/>
                <w:szCs w:val="19"/>
              </w:rPr>
              <w:t xml:space="preserve">DNS (relais)</w:t>
            </w:r>
          </w:p>
        </w:tc>
        <w:tc>
          <w:tcPr>
            <w:tcW w:w="15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53/UDP</w:t>
            </w:r>
          </w:p>
        </w:tc>
        <w:tc>
          <w:tcPr>
            <w:tcW w:w="5170" w:type="dxa"/>
            <w:tcMar>
              <w:top w:w="70" w:type="dxa"/>
              <w:left w:w="110" w:type="dxa"/>
              <w:bottom w:w="70" w:type="dxa"/>
              <w:right w:w="110" w:type="dxa"/>
            </w:tcMar>
            <w:vAlign w:val="center"/>
          </w:tcPr>
          <w:p>
            <w:pPr>
              <w:spacing w:before="10" w:after="10"/>
            </w:pPr>
            <w:r>
              <w:rPr>
                <w:color w:val="41505F"/>
                <w:sz w:val="19"/>
                <w:szCs w:val="19"/>
              </w:rPr>
              <w:t xml:space="preserve">Sept VLAN — la zone voip en est exclue</w:t>
            </w:r>
          </w:p>
        </w:tc>
      </w:tr>
      <w:tr>
        <w:tc>
          <w:tcPr>
            <w:tcW w:w="2400" w:type="dxa"/>
            <w:tcMar>
              <w:top w:w="70" w:type="dxa"/>
              <w:left w:w="110" w:type="dxa"/>
              <w:bottom w:w="70" w:type="dxa"/>
              <w:right w:w="110" w:type="dxa"/>
            </w:tcMar>
            <w:vAlign w:val="center"/>
          </w:tcPr>
          <w:p>
            <w:pPr>
              <w:spacing w:before="10" w:after="10"/>
            </w:pPr>
            <w:r>
              <w:rPr>
                <w:b/>
                <w:color w:val="1F2A37"/>
                <w:sz w:val="19"/>
                <w:szCs w:val="19"/>
              </w:rPr>
              <w:t xml:space="preserve">SSH</w:t>
            </w:r>
          </w:p>
        </w:tc>
        <w:tc>
          <w:tcPr>
            <w:tcW w:w="15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22/TCP</w:t>
            </w:r>
          </w:p>
        </w:tc>
        <w:tc>
          <w:tcPr>
            <w:tcW w:w="5170" w:type="dxa"/>
            <w:tcMar>
              <w:top w:w="70" w:type="dxa"/>
              <w:left w:w="110" w:type="dxa"/>
              <w:bottom w:w="70" w:type="dxa"/>
              <w:right w:w="110" w:type="dxa"/>
            </w:tcMar>
            <w:vAlign w:val="center"/>
          </w:tcPr>
          <w:p>
            <w:pPr>
              <w:spacing w:before="10" w:after="10"/>
            </w:pPr>
            <w:r>
              <w:rPr>
                <w:color w:val="41505F"/>
                <w:sz w:val="19"/>
                <w:szCs w:val="19"/>
              </w:rPr>
              <w:t xml:space="preserve">Zone d’administration uniquement, compte nominatif</w:t>
            </w:r>
          </w:p>
        </w:tc>
      </w:tr>
      <w:tr>
        <w:tc>
          <w:tcPr>
            <w:tcW w:w="2400" w:type="dxa"/>
            <w:tcMar>
              <w:top w:w="70" w:type="dxa"/>
              <w:left w:w="110" w:type="dxa"/>
              <w:bottom w:w="70" w:type="dxa"/>
              <w:right w:w="110" w:type="dxa"/>
            </w:tcMar>
            <w:vAlign w:val="center"/>
          </w:tcPr>
          <w:p>
            <w:pPr>
              <w:spacing w:before="10" w:after="10"/>
            </w:pPr>
            <w:r>
              <w:rPr>
                <w:b/>
                <w:color w:val="1F2A37"/>
                <w:sz w:val="19"/>
                <w:szCs w:val="19"/>
              </w:rPr>
              <w:t xml:space="preserve">NETCONF</w:t>
            </w:r>
          </w:p>
        </w:tc>
        <w:tc>
          <w:tcPr>
            <w:tcW w:w="15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830/TCP</w:t>
            </w:r>
          </w:p>
        </w:tc>
        <w:tc>
          <w:tcPr>
            <w:tcW w:w="5170" w:type="dxa"/>
            <w:tcMar>
              <w:top w:w="70" w:type="dxa"/>
              <w:left w:w="110" w:type="dxa"/>
              <w:bottom w:w="70" w:type="dxa"/>
              <w:right w:w="110" w:type="dxa"/>
            </w:tcMar>
            <w:vAlign w:val="center"/>
          </w:tcPr>
          <w:p>
            <w:pPr>
              <w:spacing w:before="10" w:after="10"/>
            </w:pPr>
            <w:r>
              <w:rPr>
                <w:color w:val="41505F"/>
                <w:sz w:val="19"/>
                <w:szCs w:val="19"/>
              </w:rPr>
              <w:t xml:space="preserve">Sur SSH — interface programmatique pour la supervision</w:t>
            </w:r>
          </w:p>
        </w:tc>
      </w:tr>
    </w:tbl>
    <w:p>
      <w:pPr>
        <w:spacing w:after="0"/>
      </w:pPr>
    </w:p>
    <w:p>
      <w:pPr>
        <w:keepNext/>
        <w:pageBreakBefore/>
        <w:spacing w:before="300" w:after="140"/>
      </w:pPr>
      <w:r>
        <w:rPr>
          <w:b/>
          <w:color w:val="2E75B6"/>
          <w:sz w:val="30"/>
          <w:szCs w:val="30"/>
        </w:rPr>
        <w:t xml:space="preserve">6    </w:t>
      </w:r>
      <w:r>
        <w:rPr>
          <w:b/>
          <w:color w:val="1F2A37"/>
          <w:sz w:val="30"/>
          <w:szCs w:val="30"/>
        </w:rPr>
        <w:t xml:space="preserve">Durcissement et sécurité</w:t>
      </w:r>
    </w:p>
    <w:p>
      <w:pPr>
        <w:spacing w:before="0" w:after="60" w:line="276" w:lineRule="auto"/>
        <w:ind w:left="360" w:hanging="360"/>
      </w:pPr>
      <w:r>
        <w:rPr>
          <w:b/>
          <w:color w:val="2E75B6"/>
          <w:sz w:val="22"/>
          <w:szCs w:val="22"/>
        </w:rPr>
        <w:t xml:space="preserve">•    </w:t>
      </w:r>
      <w:r>
        <w:rPr>
          <w:color w:val="41505F"/>
          <w:sz w:val="22"/>
          <w:szCs w:val="22"/>
        </w:rPr>
        <w:t xml:space="preserve">Services superflus supprimés </w:t>
      </w:r>
      <w:r>
        <w:rPr>
          <w:color w:val="41505F"/>
          <w:sz w:val="22"/>
          <w:szCs w:val="22"/>
        </w:rPr>
        <w:t xml:space="preserve">— telnet, interface d’administration web et interface XML en clair sont retirés de la configuration d’usine.</w:t>
      </w:r>
    </w:p>
    <w:p>
      <w:pPr>
        <w:spacing w:before="0" w:after="60" w:line="276" w:lineRule="auto"/>
        <w:ind w:left="360" w:hanging="360"/>
      </w:pPr>
      <w:r>
        <w:rPr>
          <w:b/>
          <w:color w:val="2E75B6"/>
          <w:sz w:val="22"/>
          <w:szCs w:val="22"/>
        </w:rPr>
        <w:t xml:space="preserve">•    </w:t>
      </w:r>
      <w:r>
        <w:rPr>
          <w:color w:val="41505F"/>
          <w:sz w:val="22"/>
          <w:szCs w:val="22"/>
        </w:rPr>
        <w:t xml:space="preserve">Connexion root par mot de passe refusée </w:t>
      </w:r>
      <w:r>
        <w:rPr>
          <w:color w:val="41505F"/>
          <w:sz w:val="22"/>
          <w:szCs w:val="22"/>
        </w:rPr>
        <w:t xml:space="preserve">sur SSH après création du compte nominatif ; l’accès root reste possible par la console série pour la reprise.</w:t>
      </w:r>
    </w:p>
    <w:p>
      <w:pPr>
        <w:spacing w:before="0" w:after="60" w:line="276" w:lineRule="auto"/>
        <w:ind w:left="360" w:hanging="360"/>
      </w:pPr>
      <w:r>
        <w:rPr>
          <w:b/>
          <w:color w:val="2E75B6"/>
          <w:sz w:val="22"/>
          <w:szCs w:val="22"/>
        </w:rPr>
        <w:t xml:space="preserve">•    </w:t>
      </w:r>
      <w:r>
        <w:rPr>
          <w:color w:val="41505F"/>
          <w:sz w:val="22"/>
          <w:szCs w:val="22"/>
        </w:rPr>
        <w:t xml:space="preserve">Administration cantonnée </w:t>
      </w:r>
      <w:r>
        <w:rPr>
          <w:color w:val="41505F"/>
          <w:sz w:val="22"/>
          <w:szCs w:val="22"/>
        </w:rPr>
        <w:t xml:space="preserve">à la zone d’administration : aucun autre VLAN ne peut atteindre le plan de gestion du pare-feu.</w:t>
      </w:r>
    </w:p>
    <w:p>
      <w:pPr>
        <w:spacing w:before="0" w:after="60" w:line="276" w:lineRule="auto"/>
        <w:ind w:left="360" w:hanging="360"/>
      </w:pPr>
      <w:r>
        <w:rPr>
          <w:b/>
          <w:color w:val="2E75B6"/>
          <w:sz w:val="22"/>
          <w:szCs w:val="22"/>
        </w:rPr>
        <w:t xml:space="preserve">•    </w:t>
      </w:r>
      <w:r>
        <w:rPr>
          <w:color w:val="41505F"/>
          <w:sz w:val="22"/>
          <w:szCs w:val="22"/>
        </w:rPr>
        <w:t xml:space="preserve">Refus par défaut </w:t>
      </w:r>
      <w:r>
        <w:rPr>
          <w:color w:val="41505F"/>
          <w:sz w:val="22"/>
          <w:szCs w:val="22"/>
        </w:rPr>
        <w:t xml:space="preserve">— tout couple de zones sans politique explicite est bloqué ; les ouvertures se font service par service.</w:t>
      </w:r>
    </w:p>
    <w:p>
      <w:pPr>
        <w:spacing w:before="0" w:after="60" w:line="276" w:lineRule="auto"/>
        <w:ind w:left="360" w:hanging="360"/>
      </w:pPr>
      <w:r>
        <w:rPr>
          <w:b/>
          <w:color w:val="2E75B6"/>
          <w:sz w:val="22"/>
          <w:szCs w:val="22"/>
        </w:rPr>
        <w:t xml:space="preserve">•    </w:t>
      </w:r>
      <w:r>
        <w:rPr>
          <w:color w:val="41505F"/>
          <w:sz w:val="22"/>
          <w:szCs w:val="22"/>
        </w:rPr>
        <w:t xml:space="preserve">Aucun secret documenté </w:t>
      </w:r>
      <w:r>
        <w:rPr>
          <w:color w:val="41505F"/>
          <w:sz w:val="22"/>
          <w:szCs w:val="22"/>
        </w:rPr>
        <w:t xml:space="preserve">— les mots de passe sont générés à l’exécution et consignés dans le gestionnaire de secrets, jamais dans cette procédure.</w:t>
      </w:r>
    </w:p>
    <w:p>
      <w:pPr>
        <w:spacing w:before="0" w:after="60" w:line="276" w:lineRule="auto"/>
        <w:ind w:left="360" w:hanging="360"/>
      </w:pPr>
      <w:r>
        <w:rPr>
          <w:b/>
          <w:color w:val="2E75B6"/>
          <w:sz w:val="22"/>
          <w:szCs w:val="22"/>
        </w:rPr>
        <w:t xml:space="preserve">•    </w:t>
      </w:r>
      <w:r>
        <w:rPr>
          <w:color w:val="41505F"/>
          <w:sz w:val="22"/>
          <w:szCs w:val="22"/>
        </w:rPr>
        <w:t xml:space="preserve">Segmentation du réseau invité </w:t>
      </w:r>
      <w:r>
        <w:rPr>
          <w:color w:val="41505F"/>
          <w:sz w:val="22"/>
          <w:szCs w:val="22"/>
        </w:rPr>
        <w:t xml:space="preserve">— le VLAN sans fil ouvert n’atteint aucune zone interne et ne dispose que de la résolution de noms et de l’accès sortant.</w:t>
      </w:r>
    </w:p>
    <w:p>
      <w:pPr>
        <w:spacing w:before="0" w:after="60" w:line="276" w:lineRule="auto"/>
        <w:ind w:left="360" w:hanging="360"/>
      </w:pPr>
      <w:r>
        <w:rPr>
          <w:b/>
          <w:color w:val="2E75B6"/>
          <w:sz w:val="22"/>
          <w:szCs w:val="22"/>
        </w:rPr>
        <w:t xml:space="preserve">•    </w:t>
      </w:r>
      <w:r>
        <w:rPr>
          <w:color w:val="41505F"/>
          <w:sz w:val="22"/>
          <w:szCs w:val="22"/>
        </w:rPr>
        <w:t xml:space="preserve">Plan de cluster isolé </w:t>
      </w:r>
      <w:r>
        <w:rPr>
          <w:color w:val="41505F"/>
          <w:sz w:val="22"/>
          <w:szCs w:val="22"/>
        </w:rPr>
        <w:t xml:space="preserve">— le VLAN de synchronisation entre hyperviseurs n’est pas routé et ne traverse jamais le pare-feu.</w:t>
      </w:r>
    </w:p>
    <w:p>
      <w:pPr>
        <w:keepNext/>
        <w:spacing w:before="200" w:after="70"/>
      </w:pPr>
      <w:r>
        <w:rPr>
          <w:b/>
          <w:color w:val="245D92"/>
          <w:sz w:val="23"/>
          <w:szCs w:val="23"/>
        </w:rPr>
        <w:t xml:space="preserve">Dettes techniques</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2600"/>
        <w:gridCol w:w="3300"/>
        <w:gridCol w:w="3170"/>
      </w:tblGrid>
      <w:tr>
        <w:tc>
          <w:tcPr>
            <w:tcW w:w="26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Point</w:t>
            </w:r>
          </w:p>
        </w:tc>
        <w:tc>
          <w:tcPr>
            <w:tcW w:w="33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Impact</w:t>
            </w:r>
          </w:p>
        </w:tc>
        <w:tc>
          <w:tcPr>
            <w:tcW w:w="317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État</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Version logicielle non corrigée</w:t>
            </w:r>
          </w:p>
        </w:tc>
        <w:tc>
          <w:tcPr>
            <w:tcW w:w="3300" w:type="dxa"/>
            <w:tcMar>
              <w:top w:w="70" w:type="dxa"/>
              <w:left w:w="110" w:type="dxa"/>
              <w:bottom w:w="70" w:type="dxa"/>
              <w:right w:w="110" w:type="dxa"/>
            </w:tcMar>
            <w:vAlign w:val="center"/>
          </w:tcPr>
          <w:p>
            <w:pPr>
              <w:spacing w:before="10" w:after="10"/>
            </w:pPr>
            <w:r>
              <w:rPr>
                <w:color w:val="41505F"/>
                <w:sz w:val="19"/>
                <w:szCs w:val="19"/>
              </w:rPr>
              <w:t xml:space="preserve">Vulnérabilités publiées après la version installée non corrigées</w:t>
            </w:r>
          </w:p>
        </w:tc>
        <w:tc>
          <w:tcPr>
            <w:tcW w:w="3170" w:type="dxa"/>
            <w:tcMar>
              <w:top w:w="70" w:type="dxa"/>
              <w:left w:w="110" w:type="dxa"/>
              <w:bottom w:w="70" w:type="dxa"/>
              <w:right w:w="110" w:type="dxa"/>
            </w:tcMar>
            <w:vAlign w:val="center"/>
          </w:tcPr>
          <w:p>
            <w:pPr>
              <w:spacing w:before="10" w:after="10"/>
            </w:pPr>
            <w:r>
              <w:rPr>
                <w:color w:val="41505F"/>
                <w:sz w:val="19"/>
                <w:szCs w:val="19"/>
              </w:rPr>
              <w:t xml:space="preserve">Ouvert — mise à jour impossible sans compte éditeur</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Synchronisation horaire absente</w:t>
            </w:r>
          </w:p>
        </w:tc>
        <w:tc>
          <w:tcPr>
            <w:tcW w:w="3300" w:type="dxa"/>
            <w:tcMar>
              <w:top w:w="70" w:type="dxa"/>
              <w:left w:w="110" w:type="dxa"/>
              <w:bottom w:w="70" w:type="dxa"/>
              <w:right w:w="110" w:type="dxa"/>
            </w:tcMar>
            <w:vAlign w:val="center"/>
          </w:tcPr>
          <w:p>
            <w:pPr>
              <w:spacing w:before="10" w:after="10"/>
            </w:pPr>
            <w:r>
              <w:rPr>
                <w:color w:val="41505F"/>
                <w:sz w:val="19"/>
                <w:szCs w:val="19"/>
              </w:rPr>
              <w:t xml:space="preserve">Horodatage des journaux non fiable</w:t>
            </w:r>
          </w:p>
        </w:tc>
        <w:tc>
          <w:tcPr>
            <w:tcW w:w="3170" w:type="dxa"/>
            <w:tcMar>
              <w:top w:w="70" w:type="dxa"/>
              <w:left w:w="110" w:type="dxa"/>
              <w:bottom w:w="70" w:type="dxa"/>
              <w:right w:w="110" w:type="dxa"/>
            </w:tcMar>
            <w:vAlign w:val="center"/>
          </w:tcPr>
          <w:p>
            <w:pPr>
              <w:spacing w:before="10" w:after="10"/>
            </w:pPr>
            <w:r>
              <w:rPr>
                <w:color w:val="41505F"/>
                <w:sz w:val="19"/>
                <w:szCs w:val="19"/>
              </w:rPr>
              <w:t xml:space="preserve">Ouvert — à configurer maintenant que le WAN est opérationnel</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Journalisation locale uniquement</w:t>
            </w:r>
          </w:p>
        </w:tc>
        <w:tc>
          <w:tcPr>
            <w:tcW w:w="3300" w:type="dxa"/>
            <w:tcMar>
              <w:top w:w="70" w:type="dxa"/>
              <w:left w:w="110" w:type="dxa"/>
              <w:bottom w:w="70" w:type="dxa"/>
              <w:right w:w="110" w:type="dxa"/>
            </w:tcMar>
            <w:vAlign w:val="center"/>
          </w:tcPr>
          <w:p>
            <w:pPr>
              <w:spacing w:before="10" w:after="10"/>
            </w:pPr>
            <w:r>
              <w:rPr>
                <w:color w:val="41505F"/>
                <w:sz w:val="19"/>
                <w:szCs w:val="19"/>
              </w:rPr>
              <w:t xml:space="preserve">Aucune conservation hors équipement</w:t>
            </w:r>
          </w:p>
        </w:tc>
        <w:tc>
          <w:tcPr>
            <w:tcW w:w="3170" w:type="dxa"/>
            <w:tcMar>
              <w:top w:w="70" w:type="dxa"/>
              <w:left w:w="110" w:type="dxa"/>
              <w:bottom w:w="70" w:type="dxa"/>
              <w:right w:w="110" w:type="dxa"/>
            </w:tcMar>
            <w:vAlign w:val="center"/>
          </w:tcPr>
          <w:p>
            <w:pPr>
              <w:spacing w:before="10" w:after="10"/>
            </w:pPr>
            <w:r>
              <w:rPr>
                <w:color w:val="41505F"/>
                <w:sz w:val="19"/>
                <w:szCs w:val="19"/>
              </w:rPr>
              <w:t xml:space="preserve">Ouvert — déport prévu vers la plateforme de supervision</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Double traduction d’adresses</w:t>
            </w:r>
          </w:p>
        </w:tc>
        <w:tc>
          <w:tcPr>
            <w:tcW w:w="3300" w:type="dxa"/>
            <w:tcMar>
              <w:top w:w="70" w:type="dxa"/>
              <w:left w:w="110" w:type="dxa"/>
              <w:bottom w:w="70" w:type="dxa"/>
              <w:right w:w="110" w:type="dxa"/>
            </w:tcMar>
            <w:vAlign w:val="center"/>
          </w:tcPr>
          <w:p>
            <w:pPr>
              <w:spacing w:before="10" w:after="10"/>
            </w:pPr>
            <w:r>
              <w:rPr>
                <w:color w:val="41505F"/>
                <w:sz w:val="19"/>
                <w:szCs w:val="19"/>
              </w:rPr>
              <w:t xml:space="preserve">Services entrants dépendants du routeur d’accès</w:t>
            </w:r>
          </w:p>
        </w:tc>
        <w:tc>
          <w:tcPr>
            <w:tcW w:w="3170" w:type="dxa"/>
            <w:tcMar>
              <w:top w:w="70" w:type="dxa"/>
              <w:left w:w="110" w:type="dxa"/>
              <w:bottom w:w="70" w:type="dxa"/>
              <w:right w:w="110" w:type="dxa"/>
            </w:tcMar>
            <w:vAlign w:val="center"/>
          </w:tcPr>
          <w:p>
            <w:pPr>
              <w:spacing w:before="10" w:after="10"/>
            </w:pPr>
            <w:r>
              <w:rPr>
                <w:color w:val="41505F"/>
                <w:sz w:val="19"/>
                <w:szCs w:val="19"/>
              </w:rPr>
              <w:t xml:space="preserve">Assumé — contrainte du fournisseur</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Condensat root exposé en session</w:t>
            </w:r>
          </w:p>
        </w:tc>
        <w:tc>
          <w:tcPr>
            <w:tcW w:w="3300" w:type="dxa"/>
            <w:tcMar>
              <w:top w:w="70" w:type="dxa"/>
              <w:left w:w="110" w:type="dxa"/>
              <w:bottom w:w="70" w:type="dxa"/>
              <w:right w:w="110" w:type="dxa"/>
            </w:tcMar>
            <w:vAlign w:val="center"/>
          </w:tcPr>
          <w:p>
            <w:pPr>
              <w:spacing w:before="10" w:after="10"/>
            </w:pPr>
            <w:r>
              <w:rPr>
                <w:color w:val="41505F"/>
                <w:sz w:val="19"/>
                <w:szCs w:val="19"/>
              </w:rPr>
              <w:t xml:space="preserve">Attaque hors ligne possible</w:t>
            </w:r>
          </w:p>
        </w:tc>
        <w:tc>
          <w:tcPr>
            <w:tcW w:w="3170" w:type="dxa"/>
            <w:tcMar>
              <w:top w:w="70" w:type="dxa"/>
              <w:left w:w="110" w:type="dxa"/>
              <w:bottom w:w="70" w:type="dxa"/>
              <w:right w:w="110" w:type="dxa"/>
            </w:tcMar>
            <w:vAlign w:val="center"/>
          </w:tcPr>
          <w:p>
            <w:pPr>
              <w:spacing w:before="10" w:after="10"/>
            </w:pPr>
            <w:r>
              <w:rPr>
                <w:color w:val="41505F"/>
                <w:sz w:val="19"/>
                <w:szCs w:val="19"/>
              </w:rPr>
              <w:t xml:space="preserve">Traité — mot de passe changé</w:t>
            </w:r>
          </w:p>
        </w:tc>
      </w:tr>
      <w:tr>
        <w:tc>
          <w:tcPr>
            <w:tcW w:w="2600" w:type="dxa"/>
            <w:tcMar>
              <w:top w:w="70" w:type="dxa"/>
              <w:left w:w="110" w:type="dxa"/>
              <w:bottom w:w="70" w:type="dxa"/>
              <w:right w:w="110" w:type="dxa"/>
            </w:tcMar>
            <w:vAlign w:val="center"/>
          </w:tcPr>
          <w:p>
            <w:pPr>
              <w:spacing w:before="10" w:after="10"/>
            </w:pPr>
            <w:r>
              <w:rPr>
                <w:b/>
                <w:color w:val="1F2A37"/>
                <w:sz w:val="19"/>
                <w:szCs w:val="19"/>
              </w:rPr>
              <w:t xml:space="preserve">Route par défaut statique</w:t>
            </w:r>
          </w:p>
        </w:tc>
        <w:tc>
          <w:tcPr>
            <w:tcW w:w="3300" w:type="dxa"/>
            <w:tcMar>
              <w:top w:w="70" w:type="dxa"/>
              <w:left w:w="110" w:type="dxa"/>
              <w:bottom w:w="70" w:type="dxa"/>
              <w:right w:w="110" w:type="dxa"/>
            </w:tcMar>
            <w:vAlign w:val="center"/>
          </w:tcPr>
          <w:p>
            <w:pPr>
              <w:spacing w:before="10" w:after="10"/>
            </w:pPr>
            <w:r>
              <w:rPr>
                <w:color w:val="41505F"/>
                <w:sz w:val="19"/>
                <w:szCs w:val="19"/>
              </w:rPr>
              <w:t xml:space="preserve">Peut masquer une défaillance du bail DHCP</w:t>
            </w:r>
          </w:p>
        </w:tc>
        <w:tc>
          <w:tcPr>
            <w:tcW w:w="3170" w:type="dxa"/>
            <w:tcMar>
              <w:top w:w="70" w:type="dxa"/>
              <w:left w:w="110" w:type="dxa"/>
              <w:bottom w:w="70" w:type="dxa"/>
              <w:right w:w="110" w:type="dxa"/>
            </w:tcMar>
            <w:vAlign w:val="center"/>
          </w:tcPr>
          <w:p>
            <w:pPr>
              <w:spacing w:before="10" w:after="10"/>
            </w:pPr>
            <w:r>
              <w:rPr>
                <w:color w:val="41505F"/>
                <w:sz w:val="19"/>
                <w:szCs w:val="19"/>
              </w:rPr>
              <w:t xml:space="preserve">À tester — voir pièges connus</w:t>
            </w:r>
          </w:p>
        </w:tc>
      </w:tr>
    </w:tbl>
    <w:p>
      <w:pPr>
        <w:spacing w:after="0"/>
      </w:pPr>
    </w:p>
    <w:p>
      <w:pPr>
        <w:keepNext/>
        <w:pageBreakBefore/>
        <w:spacing w:before="300" w:after="140"/>
      </w:pPr>
      <w:r>
        <w:rPr>
          <w:b/>
          <w:color w:val="2E75B6"/>
          <w:sz w:val="30"/>
          <w:szCs w:val="30"/>
        </w:rPr>
        <w:t xml:space="preserve">7    </w:t>
      </w:r>
      <w:r>
        <w:rPr>
          <w:b/>
          <w:color w:val="1F2A37"/>
          <w:sz w:val="30"/>
          <w:szCs w:val="30"/>
        </w:rPr>
        <w:t xml:space="preserve">Vérifications finales</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3400"/>
        <w:gridCol w:w="4270"/>
        <w:gridCol w:w="1400"/>
      </w:tblGrid>
      <w:tr>
        <w:tc>
          <w:tcPr>
            <w:tcW w:w="34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Contrôle</w:t>
            </w:r>
          </w:p>
        </w:tc>
        <w:tc>
          <w:tcPr>
            <w:tcW w:w="427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Critère d’acceptation</w:t>
            </w:r>
          </w:p>
        </w:tc>
        <w:tc>
          <w:tcPr>
            <w:tcW w:w="14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Statut</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Configuration appliquée</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commit check renvoie « configuration check succeeds » et le nom d’hôte apparaît dans l’invite</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Lien fournisseur</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show interfaces ge-0/0/0 indique « Physical link is Up »</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Bail WAN obtenu</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show dhcp client binding affiche un bail à l’état BOUND</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Accès Internet</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ping 9.9.9.9 count 3 depuis le pare-feu obtient trois réponses</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Lien trunk</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show interfaces ge-0/0/1 indique « Physical link is Up »</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Sous-interfaces</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show interfaces ge-0/0/1 | display set | count renvoie vingt-six lignes</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Zones</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Les huit zones internes et la zone non fiable sont présentes avec leurs interfaces</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Politiques</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Le nombre de lignes correspond au nombre de politiques attendu, chacune se terminant par then permit</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Distribution DHCP</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Un poste raccordé à un VLAN obtient une adresse dans la plage et la passerelle attendue</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Résolution de noms</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Une requête vers la passerelle du VLAN depuis un poste client renvoie une réponse</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Traduction sortante</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Un poste client atteint une adresse publique ; show security flow session montre la session traduite</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Cloisonnement</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Un poste du VLAN sans fil invité n’atteint aucune adresse interne d’un autre VLAN</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Administration restreinte</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Une connexion SSH depuis un VLAN autre que l’administration échoue</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Compte nominatif</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La connexion par le compte administrateur aboutit et la connexion root par mot de passe est refusée</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r>
        <w:tc>
          <w:tcPr>
            <w:tcW w:w="3400" w:type="dxa"/>
            <w:tcMar>
              <w:top w:w="70" w:type="dxa"/>
              <w:left w:w="110" w:type="dxa"/>
              <w:bottom w:w="70" w:type="dxa"/>
              <w:right w:w="110" w:type="dxa"/>
            </w:tcMar>
            <w:vAlign w:val="center"/>
          </w:tcPr>
          <w:p>
            <w:pPr>
              <w:spacing w:before="10" w:after="10"/>
            </w:pPr>
            <w:r>
              <w:rPr>
                <w:b/>
                <w:color w:val="1F2A37"/>
                <w:sz w:val="19"/>
                <w:szCs w:val="19"/>
              </w:rPr>
              <w:t xml:space="preserve">Route par défaut</w:t>
            </w:r>
          </w:p>
        </w:tc>
        <w:tc>
          <w:tcPr>
            <w:tcW w:w="4270" w:type="dxa"/>
            <w:tcMar>
              <w:top w:w="70" w:type="dxa"/>
              <w:left w:w="110" w:type="dxa"/>
              <w:bottom w:w="70" w:type="dxa"/>
              <w:right w:w="110" w:type="dxa"/>
            </w:tcMar>
            <w:vAlign w:val="center"/>
          </w:tcPr>
          <w:p>
            <w:pPr>
              <w:spacing w:before="10" w:after="10"/>
            </w:pPr>
            <w:r>
              <w:rPr>
                <w:color w:val="41505F"/>
                <w:sz w:val="19"/>
                <w:szCs w:val="19"/>
              </w:rPr>
              <w:t xml:space="preserve">show route 0.0.0.0/0 ne présente pas de route statique concurrente de la route apprise</w:t>
            </w:r>
          </w:p>
        </w:tc>
        <w:tc>
          <w:tcPr>
            <w:tcW w:w="1400" w:type="dxa"/>
            <w:tcMar>
              <w:top w:w="70" w:type="dxa"/>
              <w:left w:w="110" w:type="dxa"/>
              <w:bottom w:w="70" w:type="dxa"/>
              <w:right w:w="110" w:type="dxa"/>
            </w:tcMar>
            <w:vAlign w:val="center"/>
          </w:tcPr>
          <w:p>
            <w:pPr>
              <w:spacing w:before="10" w:after="10"/>
            </w:pPr>
            <w:r>
              <w:rPr>
                <w:color w:val="41505F"/>
                <w:sz w:val="19"/>
                <w:szCs w:val="19"/>
              </w:rPr>
              <w:t xml:space="preserve">☐</w:t>
            </w:r>
          </w:p>
        </w:tc>
      </w:tr>
    </w:tbl>
    <w:p>
      <w:pPr>
        <w:spacing w:after="0"/>
      </w:pPr>
    </w:p>
    <w:p>
      <w:pPr>
        <w:keepNext/>
        <w:pageBreakBefore/>
        <w:spacing w:before="300" w:after="140"/>
      </w:pPr>
      <w:r>
        <w:rPr>
          <w:b/>
          <w:color w:val="2E75B6"/>
          <w:sz w:val="30"/>
          <w:szCs w:val="30"/>
        </w:rPr>
        <w:t xml:space="preserve">8    </w:t>
      </w:r>
      <w:r>
        <w:rPr>
          <w:b/>
          <w:color w:val="1F2A37"/>
          <w:sz w:val="30"/>
          <w:szCs w:val="30"/>
        </w:rPr>
        <w:t xml:space="preserve">Références et historique des révisions</w:t>
      </w:r>
    </w:p>
    <w:p>
      <w:pPr>
        <w:keepNext/>
        <w:spacing w:before="200" w:after="70"/>
      </w:pPr>
      <w:r>
        <w:rPr>
          <w:b/>
          <w:color w:val="245D92"/>
          <w:sz w:val="23"/>
          <w:szCs w:val="23"/>
        </w:rPr>
        <w:t xml:space="preserve">Documentation éditeur</w:t>
      </w:r>
    </w:p>
    <w:p>
      <w:pPr>
        <w:spacing w:before="0" w:after="60" w:line="276" w:lineRule="auto"/>
        <w:ind w:left="360" w:hanging="360"/>
      </w:pPr>
      <w:r>
        <w:rPr>
          <w:b/>
          <w:color w:val="2E75B6"/>
          <w:sz w:val="22"/>
          <w:szCs w:val="22"/>
        </w:rPr>
        <w:t xml:space="preserve">•    </w:t>
      </w:r>
      <w:r>
        <w:rPr>
          <w:color w:val="41505F"/>
          <w:sz w:val="22"/>
          <w:szCs w:val="22"/>
        </w:rPr>
        <w:t xml:space="preserve">Juniper Networks </w:t>
      </w:r>
      <w:r>
        <w:rPr>
          <w:color w:val="41505F"/>
          <w:sz w:val="22"/>
          <w:szCs w:val="22"/>
        </w:rPr>
        <w:t xml:space="preserve">— global-mode (Protocols), référence des commandes Junos OS. Précise le changement de mode de niveau 2 par défaut sur cette gamme.</w:t>
      </w:r>
    </w:p>
    <w:p>
      <w:pPr>
        <w:spacing w:before="0" w:after="60" w:line="276" w:lineRule="auto"/>
        <w:ind w:left="360" w:hanging="360"/>
      </w:pPr>
      <w:r>
        <w:rPr>
          <w:b/>
          <w:color w:val="2E75B6"/>
          <w:sz w:val="22"/>
          <w:szCs w:val="22"/>
        </w:rPr>
        <w:t xml:space="preserve">•    </w:t>
      </w:r>
      <w:r>
        <w:rPr>
          <w:color w:val="41505F"/>
          <w:sz w:val="22"/>
          <w:szCs w:val="22"/>
        </w:rPr>
        <w:t xml:space="preserve">Juniper Networks </w:t>
      </w:r>
      <w:r>
        <w:rPr>
          <w:color w:val="41505F"/>
          <w:sz w:val="22"/>
          <w:szCs w:val="22"/>
        </w:rPr>
        <w:t xml:space="preserve">— Junos OS 15.1X49-D100 Release Notes. Décrit l’affectation d’usine des ports sur SRX300 et SRX320.</w:t>
      </w:r>
    </w:p>
    <w:p>
      <w:pPr>
        <w:spacing w:before="0" w:after="60" w:line="276" w:lineRule="auto"/>
        <w:ind w:left="360" w:hanging="360"/>
      </w:pPr>
      <w:r>
        <w:rPr>
          <w:b/>
          <w:color w:val="2E75B6"/>
          <w:sz w:val="22"/>
          <w:szCs w:val="22"/>
        </w:rPr>
        <w:t xml:space="preserve">•    </w:t>
      </w:r>
      <w:r>
        <w:rPr>
          <w:color w:val="41505F"/>
          <w:sz w:val="22"/>
          <w:szCs w:val="22"/>
        </w:rPr>
        <w:t xml:space="preserve">Juniper Networks </w:t>
      </w:r>
      <w:r>
        <w:rPr>
          <w:color w:val="41505F"/>
          <w:sz w:val="22"/>
          <w:szCs w:val="22"/>
        </w:rPr>
        <w:t xml:space="preserve">— Packet-Based Forwarding, documentation Junos OS. Distingue le mode de commutation de niveau 2 du traitement sans état, deux notions à ne pas confondre.</w:t>
      </w:r>
    </w:p>
    <w:p>
      <w:pPr>
        <w:spacing w:before="0" w:after="60" w:line="276" w:lineRule="auto"/>
        <w:ind w:left="360" w:hanging="360"/>
      </w:pPr>
      <w:r>
        <w:rPr>
          <w:b/>
          <w:color w:val="2E75B6"/>
          <w:sz w:val="22"/>
          <w:szCs w:val="22"/>
        </w:rPr>
        <w:t xml:space="preserve">•    </w:t>
      </w:r>
      <w:r>
        <w:rPr>
          <w:color w:val="41505F"/>
          <w:sz w:val="22"/>
          <w:szCs w:val="22"/>
        </w:rPr>
        <w:t xml:space="preserve">Juniper Networks </w:t>
      </w:r>
      <w:r>
        <w:rPr>
          <w:color w:val="41505F"/>
          <w:sz w:val="22"/>
          <w:szCs w:val="22"/>
        </w:rPr>
        <w:t xml:space="preserve">— SRX Series Hardware Dates &amp; Milestones. À consulter pour le statut de fin de support de la plateforme.</w:t>
      </w:r>
    </w:p>
    <w:p>
      <w:pPr>
        <w:keepNext/>
        <w:spacing w:before="200" w:after="70"/>
      </w:pPr>
      <w:r>
        <w:rPr>
          <w:b/>
          <w:color w:val="245D92"/>
          <w:sz w:val="23"/>
          <w:szCs w:val="23"/>
        </w:rPr>
        <w:t xml:space="preserve">Documents associés</w:t>
      </w:r>
    </w:p>
    <w:p>
      <w:pPr>
        <w:spacing w:before="0" w:after="60" w:line="276" w:lineRule="auto"/>
        <w:ind w:left="360" w:hanging="360"/>
      </w:pPr>
      <w:r>
        <w:rPr>
          <w:b/>
          <w:color w:val="2E75B6"/>
          <w:sz w:val="22"/>
          <w:szCs w:val="22"/>
        </w:rPr>
        <w:t xml:space="preserve">•    </w:t>
      </w:r>
      <w:r>
        <w:rPr>
          <w:color w:val="41505F"/>
          <w:sz w:val="22"/>
          <w:szCs w:val="22"/>
        </w:rPr>
        <w:t xml:space="preserve">HL-PRC-002 </w:t>
      </w:r>
      <w:r>
        <w:rPr>
          <w:color w:val="41505F"/>
          <w:sz w:val="22"/>
          <w:szCs w:val="22"/>
        </w:rPr>
        <w:t xml:space="preserve">— Configuration d’un commutateur d’accès Cisco SF302-08PP. Décrit le trunk homologue et la migration du plan de gestion.</w:t>
      </w:r>
    </w:p>
    <w:p>
      <w:pPr>
        <w:keepNext/>
        <w:spacing w:before="200" w:after="70"/>
      </w:pPr>
      <w:r>
        <w:rPr>
          <w:b/>
          <w:color w:val="245D92"/>
          <w:sz w:val="23"/>
          <w:szCs w:val="23"/>
        </w:rPr>
        <w:t xml:space="preserve">Historique des révisions</w:t>
      </w:r>
    </w:p>
    <w:tbl>
      <w:tblPr>
        <w:tblW w:w="9070" w:type="dxa"/>
        <w:tblBorders>
          <w:top w:val="single" w:sz="4" w:space="0" w:color="D9DEE4"/>
          <w:left w:val="single" w:sz="4" w:space="0" w:color="D9DEE4"/>
          <w:bottom w:val="single" w:sz="4" w:space="0" w:color="D9DEE4"/>
          <w:right w:val="single" w:sz="4" w:space="0" w:color="D9DEE4"/>
          <w:insideH w:val="single" w:sz="4" w:space="0" w:color="D9DEE4"/>
          <w:insideV w:val="single" w:sz="4" w:space="0" w:color="D9DEE4"/>
        </w:tblBorders>
        <w:tblLook w:val="04A0" w:firstRow="1" w:lastRow="0" w:firstColumn="0" w:lastColumn="0" w:noHBand="0" w:noVBand="1"/>
      </w:tblPr>
      <w:tblGrid>
        <w:gridCol w:w="1500"/>
        <w:gridCol w:w="2000"/>
        <w:gridCol w:w="3200"/>
        <w:gridCol w:w="2370"/>
      </w:tblGrid>
      <w:tr>
        <w:tc>
          <w:tcPr>
            <w:tcW w:w="15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Version</w:t>
            </w:r>
          </w:p>
        </w:tc>
        <w:tc>
          <w:tcPr>
            <w:tcW w:w="20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Date</w:t>
            </w:r>
          </w:p>
        </w:tc>
        <w:tc>
          <w:tcPr>
            <w:tcW w:w="320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Auteur</w:t>
            </w:r>
          </w:p>
        </w:tc>
        <w:tc>
          <w:tcPr>
            <w:tcW w:w="2370" w:type="dxa"/>
            <w:shd w:val="clear" w:color="auto" w:fill="F3F5F8"/>
            <w:tcMar>
              <w:top w:w="70" w:type="dxa"/>
              <w:left w:w="110" w:type="dxa"/>
              <w:bottom w:w="70" w:type="dxa"/>
              <w:right w:w="110" w:type="dxa"/>
            </w:tcMar>
            <w:vAlign w:val="center"/>
          </w:tcPr>
          <w:p>
            <w:pPr>
              <w:spacing w:before="10" w:after="10"/>
            </w:pPr>
            <w:r>
              <w:rPr>
                <w:b/>
                <w:caps/>
                <w:color w:val="6B7884"/>
                <w:sz w:val="15"/>
                <w:szCs w:val="15"/>
              </w:rPr>
              <w:t xml:space="preserve">Modifications</w:t>
            </w:r>
          </w:p>
        </w:tc>
      </w:tr>
      <w:tr>
        <w:tc>
          <w:tcPr>
            <w:tcW w:w="1500" w:type="dxa"/>
            <w:tcMar>
              <w:top w:w="70" w:type="dxa"/>
              <w:left w:w="110" w:type="dxa"/>
              <w:bottom w:w="70" w:type="dxa"/>
              <w:right w:w="110" w:type="dxa"/>
            </w:tcMar>
            <w:vAlign w:val="center"/>
          </w:tcPr>
          <w:p>
            <w:pPr>
              <w:spacing w:before="10" w:after="10"/>
            </w:pPr>
            <w:r>
              <w:rPr>
                <w:rFonts w:ascii="Consolas" w:hAnsi="Consolas" w:cs="Consolas"/>
                <w:b/>
                <w:color w:val="1F2A37"/>
                <w:sz w:val="19"/>
                <w:szCs w:val="19"/>
              </w:rPr>
              <w:t xml:space="preserve">0.1</w:t>
            </w:r>
          </w:p>
        </w:tc>
        <w:tc>
          <w:tcPr>
            <w:tcW w:w="2000" w:type="dxa"/>
            <w:tcMar>
              <w:top w:w="70" w:type="dxa"/>
              <w:left w:w="110" w:type="dxa"/>
              <w:bottom w:w="70" w:type="dxa"/>
              <w:right w:w="110" w:type="dxa"/>
            </w:tcMar>
            <w:vAlign w:val="center"/>
          </w:tcPr>
          <w:p>
            <w:pPr>
              <w:spacing w:before="10" w:after="10"/>
            </w:pPr>
            <w:r>
              <w:rPr>
                <w:rFonts w:ascii="Consolas" w:hAnsi="Consolas" w:cs="Consolas"/>
                <w:color w:val="41505F"/>
                <w:sz w:val="19"/>
                <w:szCs w:val="19"/>
              </w:rPr>
              <w:t xml:space="preserve">23/08/2026</w:t>
            </w:r>
          </w:p>
        </w:tc>
        <w:tc>
          <w:tcPr>
            <w:tcW w:w="3200" w:type="dxa"/>
            <w:tcMar>
              <w:top w:w="70" w:type="dxa"/>
              <w:left w:w="110" w:type="dxa"/>
              <w:bottom w:w="70" w:type="dxa"/>
              <w:right w:w="110" w:type="dxa"/>
            </w:tcMar>
            <w:vAlign w:val="center"/>
          </w:tcPr>
          <w:p>
            <w:pPr>
              <w:spacing w:before="10" w:after="10"/>
            </w:pPr>
            <w:r>
              <w:rPr>
                <w:color w:val="41505F"/>
                <w:sz w:val="19"/>
                <w:szCs w:val="19"/>
              </w:rPr>
              <w:t xml:space="preserve">Administrateur système et réseaux</w:t>
            </w:r>
          </w:p>
        </w:tc>
        <w:tc>
          <w:tcPr>
            <w:tcW w:w="2370" w:type="dxa"/>
            <w:tcMar>
              <w:top w:w="70" w:type="dxa"/>
              <w:left w:w="110" w:type="dxa"/>
              <w:bottom w:w="70" w:type="dxa"/>
              <w:right w:w="110" w:type="dxa"/>
            </w:tcMar>
            <w:vAlign w:val="center"/>
          </w:tcPr>
          <w:p>
            <w:pPr>
              <w:spacing w:before="10" w:after="10"/>
            </w:pPr>
            <w:r>
              <w:rPr>
                <w:color w:val="41505F"/>
                <w:sz w:val="19"/>
                <w:szCs w:val="19"/>
              </w:rPr>
              <w:t xml:space="preserve">Création du document à partir de la mise en service réelle.</w:t>
            </w:r>
          </w:p>
        </w:tc>
      </w:tr>
    </w:tbl>
    <w:p>
      <w:pPr>
        <w:spacing w:after="0"/>
      </w:pPr>
    </w:p>
    <w:sectPr>
      <w:headerReference w:type="default" r:id="rId3"/>
      <w:headerReference w:type="first" r:id="rId5"/>
      <w:footerReference w:type="default" r:id="rId4"/>
      <w:footerReference w:type="first" r:id="rId6"/>
      <w:pgSz w:w="11906" w:h="16838"/>
      <w:pgMar w:top="1418" w:right="1418" w:bottom="1276" w:left="1418" w:header="709" w:footer="624"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070"/>
      </w:tabs>
      <w:spacing w:before="60" w:after="0"/>
    </w:pPr>
    <w:r>
      <w:rPr>
        <w:sz w:val="16"/>
        <w:szCs w:val="16"/>
        <w:color w:val="6B7884"/>
      </w:rPr>
      <w:t xml:space="preserve">Document interne — diffusion restreinte au périmètre du homelab.</w:t>
    </w:r>
    <w:r>
      <w:tab/>
    </w:r>
    <w:r>
      <w:rPr>
        <w:rFonts w:ascii="Consolas" w:hAnsi="Consolas" w:cs="Consolas"/>
        <w:sz w:val="16"/>
        <w:szCs w:val="16"/>
        <w:color w:val="6B7884"/>
      </w:rPr>
      <w:t xml:space="preserve">HL-PRC-001 · v0.1</w:t>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center" w:pos="4535"/>
        <w:tab w:val="right" w:pos="9070"/>
      </w:tabs>
      <w:spacing w:before="60" w:after="0"/>
    </w:pPr>
    <w:r>
      <w:rPr>
        <w:rFonts w:ascii="Consolas" w:hAnsi="Consolas" w:cs="Consolas"/>
        <w:sz w:val="16"/>
        <w:szCs w:val="16"/>
        <w:color w:val="6B7884"/>
      </w:rPr>
      <w:t xml:space="preserve">HL-PRC-001 · v0.1</w:t>
    </w:r>
    <w:r>
      <w:tab/>
    </w:r>
    <w:r>
      <w:rPr>
        <w:sz w:val="16"/>
        <w:szCs w:val="16"/>
        <w:color w:val="6B7884"/>
      </w:rPr>
      <w:t xml:space="preserve">Interne — diffusion restreinte</w:t>
    </w:r>
    <w:r>
      <w:tab/>
    </w:r>
    <w:r>
      <w:rPr>
        <w:sz w:val="16"/>
        <w:szCs w:val="16"/>
        <w:color w:val="6B7884"/>
      </w:rPr>
      <w:t xml:space="preserve">Page </w:t>
    </w:r>
    <w:r>
      <w:fldChar w:fldCharType="begin"/>
    </w:r>
    <w:r>
      <w:instrText xml:space="preserve"> PAGE </w:instrText>
    </w:r>
    <w:r>
      <w:fldChar w:fldCharType="end"/>
    </w:r>
    <w:r>
      <w:rPr>
        <w:sz w:val="16"/>
        <w:szCs w:val="16"/>
        <w:color w:val="6B7884"/>
      </w:rPr>
      <w:t xml:space="preserve"> / </w:t>
    </w:r>
    <w:r>
      <w:fldChar w:fldCharType="begin"/>
    </w:r>
    <w:r>
      <w:instrText xml:space="preserve"> NUMPAGES </w:instrText>
    </w:r>
    <w: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before="0" w:after="0"/>
    </w:pPr>
  </w:p>
</w:hdr>
</file>

<file path=word/header2.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bottom w:val="single" w:sz="4" w:space="6" w:color="D9DEE4"/>
      </w:pBdr>
      <w:tabs>
        <w:tab w:val="right" w:pos="9070"/>
      </w:tabs>
      <w:spacing w:before="0" w:after="60"/>
    </w:pPr>
    <w:r>
      <w:drawing>
        <wp:inline distT="0" distB="0" distL="0" distR="0">
          <wp:extent cx="210000" cy="210000"/>
          <wp:effectExtent l="0" t="0" r="0" b="0"/>
          <wp:docPr id="201" name="logo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logo201"/>
                  <pic:cNvPicPr/>
                </pic:nvPicPr>
                <pic:blipFill>
                  <a:blip r:embed="rId1"/>
                  <a:stretch>
                    <a:fillRect/>
                  </a:stretch>
                </pic:blipFill>
                <pic:spPr>
                  <a:xfrm>
                    <a:off x="0" y="0"/>
                    <a:ext cx="210000" cy="210000"/>
                  </a:xfrm>
                  <a:prstGeom prst="rect">
                    <a:avLst/>
                  </a:prstGeom>
                </pic:spPr>
              </pic:pic>
            </a:graphicData>
          </a:graphic>
        </wp:inline>
      </w:drawing>
    </w:r>
    <w:r>
      <w:t xml:space="preserve">  </w:t>
    </w:r>
    <w:r>
      <w:rPr>
        <w:b/>
        <w:sz w:val="20"/>
        <w:szCs w:val="20"/>
        <w:color w:val="1F2A37"/>
        <w:spacing w:val="20"/>
      </w:rPr>
      <w:t xml:space="preserve">HOMELAB</w:t>
    </w:r>
    <w:r>
      <w:rPr>
        <w:sz w:val="20"/>
        <w:szCs w:val="20"/>
        <w:color w:val="6B7884"/>
      </w:rPr>
      <w:t xml:space="preserve">  ·  Procédure</w:t>
    </w:r>
    <w:r>
      <w:tab/>
    </w:r>
    <w:r>
      <w:rPr>
        <w:rFonts w:ascii="Consolas" w:hAnsi="Consolas" w:cs="Consolas"/>
        <w:sz w:val="16"/>
        <w:szCs w:val="16"/>
        <w:color w:val="6B7884"/>
      </w:rPr>
      <w:t xml:space="preserve">HL-PRC-001 · v0.1</w:t>
    </w:r>
  </w:p>
</w:hdr>
</file>

<file path=word/settings.xml><?xml version="1.0" encoding="utf-8"?>
<w:settings xmlns:w="http://schemas.openxmlformats.org/wordprocessingml/2006/main">
  <w:updateFields w:val="true"/>
</w:settings>
</file>

<file path=word/styles.xml><?xml version="1.0" encoding="utf-8"?>
<w:styles xmlns:w="http://schemas.openxmlformats.org/wordprocessingml/2006/main">
  <w:docDefaults>
    <w:rPrDefault>
      <w:rPr>
        <w:rFonts w:ascii="Arial" w:hAnsi="Arial" w:cs="Arial"/>
        <w:color w:val="41505F"/>
        <w:sz w:val="20"/>
        <w:szCs w:val="20"/>
        <w:lang w:val="fr-FR"/>
      </w:rPr>
    </w:rPrDefault>
    <w:pPrDefault>
      <w:pPr>
        <w:spacing w:after="120" w:line="276" w:lineRule="auto"/>
      </w:pPr>
    </w:pPrDefault>
  </w:docDefaults>
  <w:style w:type="paragraph" w:default="1" w:styleId="Normal">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header" Target="header2.xml"/><Relationship Id="rId4" Type="http://schemas.openxmlformats.org/officeDocument/2006/relationships/footer" Target="footer2.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