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5B6478"/>
          <w:sz w:val="20"/>
          <w:szCs w:val="20"/>
        </w:rPr>
        <w:t xml:space="preserve">BTS SIO — Option SISR</w:t>
      </w:r>
    </w:p>
    <w:p>
      <w:pPr>
        <w:pStyle w:val="Heading1"/>
        <w:spacing w:after="60"/>
      </w:pPr>
      <w:r>
        <w:t xml:space="preserve">Configuration et mise en service d’un commutateur Cisco SF302-08PP</w:t>
      </w:r>
    </w:p>
    <w:p>
      <w:pPr>
        <w:spacing w:after="160"/>
      </w:pPr>
      <w:r>
        <w:rPr>
          <w:i/>
          <w:iCs/>
          <w:color w:val="1E2761"/>
          <w:sz w:val="24"/>
          <w:szCs w:val="24"/>
        </w:rPr>
        <w:t xml:space="preserve">Réinitialisation, intégration réseau et administration sécurisée par SSH</w:t>
      </w:r>
    </w:p>
    <w:p>
      <w:pPr>
        <w:spacing w:after="50"/>
        <w:jc w:val="center"/>
      </w:pPr>
      <w:r>
        <w:drawing>
          <wp:inline distT="0" distB="0" distL="0" distR="0">
            <wp:extent cx="4095750" cy="307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iCs/>
          <w:color w:val="5B6478"/>
          <w:sz w:val="18"/>
          <w:szCs w:val="18"/>
        </w:rPr>
        <w:t xml:space="preserve">Commutateur administrable Cisco SF302-08PP — 8 ports 10/100 PoE+, 2 ports combo gigabit / SFP</w:t>
      </w:r>
    </w:p>
    <w:p>
      <w:pPr>
        <w:pStyle w:val="Heading1"/>
      </w:pPr>
      <w:r>
        <w:t xml:space="preserve">1. Objectif et contexte</w:t>
      </w:r>
    </w:p>
    <w:p>
      <w:pPr>
        <w:spacing w:after="120"/>
      </w:pPr>
      <w:r>
        <w:t xml:space="preserve">Réalisation en centre de formation, sur le réseau du laboratoire (192.168.1.0/24). L’objectif est d’intégrer un commutateur administrable Cisco SF302-08PP : le réinitialiser en configuration d’usine, raccorder et affecter les ports, lui attribuer une adresse d’administration, puis activer l’accès distant sécurisé par SSH.</w:t>
      </w:r>
    </w:p>
    <w:p>
      <w:pPr>
        <w:spacing w:after="120"/>
      </w:pPr>
      <w:r>
        <w:t xml:space="preserve">Le commutateur prépare la segmentation du réseau en VLAN. Compte tenu de la contrainte d’une seule carte réseau côté Proxmox, l’ensemble du trafic transite par un trunk 802.1Q unique ; le routage inter-VLAN est délégué au routeur de périmètre (pfSense). La segmentation visée est décrite en partie 6.</w:t>
      </w:r>
    </w:p>
    <w:p>
      <w:pPr>
        <w:pStyle w:val="Heading1"/>
      </w:pPr>
      <w:r>
        <w:t xml:space="preserve">2. Matériel et accès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Élément</w:t>
            </w:r>
          </w:p>
        </w:tc>
        <w:tc>
          <w:tcPr>
            <w:tcW w:type="dxa" w:w="61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Valeur</w:t>
            </w:r>
          </w:p>
        </w:tc>
      </w:tr>
      <w:tr>
        <w:tc>
          <w:tcPr>
            <w:tcW w:type="dxa" w:w="32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Équipement</w:t>
            </w:r>
          </w:p>
        </w:tc>
        <w:tc>
          <w:tcPr>
            <w:tcW w:type="dxa" w:w="61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Cisco SF302-08PP (gamme SB 300, 8 ports 10/100 PoE+, 2 combo GE/SFP)</w:t>
            </w:r>
          </w:p>
        </w:tc>
      </w:tr>
      <w:tr>
        <w:tc>
          <w:tcPr>
            <w:tcW w:type="dxa" w:w="32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Accès initial</w:t>
            </w:r>
          </w:p>
        </w:tc>
        <w:tc>
          <w:tcPr>
            <w:tcW w:type="dxa" w:w="61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Console série — PuTTY, port COM6, 9600 bauds, 8 bits, sans parité, 1 stop (8N1)</w:t>
            </w:r>
          </w:p>
        </w:tc>
      </w:tr>
      <w:tr>
        <w:tc>
          <w:tcPr>
            <w:tcW w:type="dxa" w:w="32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Identifiants d’usine</w:t>
            </w:r>
          </w:p>
        </w:tc>
        <w:tc>
          <w:tcPr>
            <w:tcW w:type="dxa" w:w="61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cisco / cisco (changement de mot de passe imposé à la première connexion)</w:t>
            </w:r>
          </w:p>
        </w:tc>
      </w:tr>
      <w:tr>
        <w:tc>
          <w:tcPr>
            <w:tcW w:type="dxa" w:w="32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Adresse d’administration</w:t>
            </w:r>
          </w:p>
        </w:tc>
        <w:tc>
          <w:tcPr>
            <w:tcW w:type="dxa" w:w="61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192.168.1.253 / 255.255.255.0 (interface VLAN 1)</w:t>
            </w:r>
          </w:p>
        </w:tc>
      </w:tr>
      <w:tr>
        <w:tc>
          <w:tcPr>
            <w:tcW w:type="dxa" w:w="32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Administration distante</w:t>
            </w:r>
          </w:p>
        </w:tc>
        <w:tc>
          <w:tcPr>
            <w:tcW w:type="dxa" w:w="61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SSH (algorithmes hérités à réautoriser côté client — voir partie 4, étape 6)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3. Plan de raccordement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4760"/>
        <w:gridCol w:w="1600"/>
        <w:gridCol w:w="1600"/>
      </w:tblGrid>
      <w:tr>
        <w:tc>
          <w:tcPr>
            <w:tcW w:type="dxa" w:w="14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Port</w:t>
            </w:r>
          </w:p>
        </w:tc>
        <w:tc>
          <w:tcPr>
            <w:tcW w:type="dxa" w:w="47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Équipement raccordé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Mode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VLAN</w:t>
            </w:r>
          </w:p>
        </w:tc>
      </w:tr>
      <w:tr>
        <w:tc>
          <w:tcPr>
            <w:tcW w:type="dxa" w:w="14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gi1</w:t>
            </w:r>
          </w:p>
        </w:tc>
        <w:tc>
          <w:tcPr>
            <w:tcW w:type="dxa" w:w="47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Box / accès Internet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Access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VLAN 1</w:t>
            </w:r>
          </w:p>
        </w:tc>
      </w:tr>
      <w:tr>
        <w:tc>
          <w:tcPr>
            <w:tcW w:type="dxa" w:w="14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gi2</w:t>
            </w:r>
          </w:p>
        </w:tc>
        <w:tc>
          <w:tcPr>
            <w:tcW w:type="dxa" w:w="47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Poste d’administration Windows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Access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VLAN 1</w:t>
            </w:r>
          </w:p>
        </w:tc>
      </w:tr>
      <w:tr>
        <w:tc>
          <w:tcPr>
            <w:tcW w:type="dxa" w:w="14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fa1</w:t>
            </w:r>
          </w:p>
        </w:tc>
        <w:tc>
          <w:tcPr>
            <w:tcW w:type="dxa" w:w="47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Hyperviseur Proxmox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Access</w:t>
            </w:r>
          </w:p>
        </w:tc>
        <w:tc>
          <w:tcPr>
            <w:tcW w:type="dxa" w:w="16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VLAN 1</w:t>
            </w:r>
          </w:p>
        </w:tc>
      </w:tr>
    </w:tbl>
    <w:p>
      <w:pPr>
        <w:spacing w:after="120"/>
      </w:pPr>
      <w:r>
        <w:rPr>
          <w:i/>
          <w:iCs/>
          <w:color w:val="5B6478"/>
        </w:rPr>
        <w:t xml:space="preserve">Remarque : le port fa1 (Proxmox) avait d’abord été configuré en trunk ; ce mode provoquait des coupures de connectivité (Proxmox mono-carte). Il a donc été repassé en access VLAN 1 pour stabiliser le lab.</w:t>
      </w:r>
    </w:p>
    <w:p>
      <w:pPr>
        <w:pStyle w:val="Heading1"/>
      </w:pPr>
      <w:r>
        <w:t xml:space="preserve">4. Procédure réalisée (console série)</w:t>
      </w:r>
    </w:p>
    <w:p>
      <w:pPr>
        <w:pStyle w:val="Heading2"/>
      </w:pPr>
      <w:r>
        <w:t xml:space="preserve">Étape 1 — Réinitialisation en configuration d’usine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Maintenir le bouton Reset enfoncé 10 à 15 secondes (commutateur allumé) jusqu’au clignotement des LED ; le commutateur redémarre sur la configuration d’usine.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 connecter en série et s’authentifier avec le compte d’usine cisco / cisco, puis définir un mot de passe administrateur fort.</w:t>
      </w:r>
    </w:p>
    <w:p>
      <w:pPr>
        <w:pStyle w:val="Heading2"/>
      </w:pPr>
      <w:r>
        <w:t xml:space="preserve">Étape 2 — Accès console (PuTTY)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Connexion série : port COM6, 9600 bauds, 8N1, contrôle de flux désactivé.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Vérifier l’invite CLI du commutateur.</w:t>
      </w:r>
    </w:p>
    <w:p>
      <w:pPr>
        <w:pStyle w:val="Heading2"/>
      </w:pPr>
      <w:r>
        <w:t xml:space="preserve">Étape 3 — Affectation des ports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0F1B3D" w:val="clear"/>
            <w:tcMar>
              <w:top w:type="dxa" w:w="150"/>
              <w:left w:type="dxa" w:w="200"/>
              <w:bottom w:type="dxa" w:w="150"/>
              <w:right w:type="dxa" w:w="160"/>
            </w:tcMar>
          </w:tcPr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switch# configure terminal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switch(config)# interface gi1            ! Box / Internet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switchport mode access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switchport access vlan 1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exit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switch(config)# interface gi2            ! Poste Windows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switchport mode access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switchport access vlan 1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exit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switch(config)# interface fa1            ! Proxmox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switchport mode access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switchport access vlan 1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exit</w:t>
            </w:r>
          </w:p>
        </w:tc>
      </w:tr>
    </w:tbl>
    <w:p>
      <w:pPr>
        <w:pStyle w:val="Heading2"/>
      </w:pPr>
      <w:r>
        <w:t xml:space="preserve">Étape 4 — Adresse d’administration (interface VLAN 1)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0F1B3D" w:val="clear"/>
            <w:tcMar>
              <w:top w:type="dxa" w:w="150"/>
              <w:left w:type="dxa" w:w="200"/>
              <w:bottom w:type="dxa" w:w="150"/>
              <w:right w:type="dxa" w:w="160"/>
            </w:tcMar>
          </w:tcPr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switch(config)# interface vlan 1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ip address 192.168.1.253 255.255.255.0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switch(config-if)# exit</w:t>
            </w:r>
          </w:p>
        </w:tc>
      </w:tr>
    </w:tbl>
    <w:p>
      <w:pPr>
        <w:pStyle w:val="Heading2"/>
      </w:pPr>
      <w:r>
        <w:t xml:space="preserve">Étape 5 — Activation de SSH et sauvegarde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0F1B3D" w:val="clear"/>
            <w:tcMar>
              <w:top w:type="dxa" w:w="150"/>
              <w:left w:type="dxa" w:w="200"/>
              <w:bottom w:type="dxa" w:w="150"/>
              <w:right w:type="dxa" w:w="160"/>
            </w:tcMar>
          </w:tcPr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switch(config)# ip ssh server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switch(config)# end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switch# write          ! sauvegarde fiable de la configuration</w:t>
            </w:r>
          </w:p>
        </w:tc>
      </w:tr>
    </w:tbl>
    <w:p>
      <w:pPr>
        <w:shd w:fill="FFF3CD" w:val="clear"/>
        <w:spacing w:after="120"/>
      </w:pPr>
      <w:r>
        <w:rPr>
          <w:b/>
          <w:bCs/>
          <w:color w:val="7A5C00"/>
          <w:sz w:val="20"/>
          <w:szCs w:val="20"/>
        </w:rPr>
        <w:t xml:space="preserve">Point de vigilance : sur ce commutateur, la commande write est plus fiable que copy running-config startup-config, dont l’invite Y/N se valide mal via le terminal série.</w:t>
      </w:r>
    </w:p>
    <w:p>
      <w:pPr>
        <w:pStyle w:val="Heading2"/>
      </w:pPr>
      <w:r>
        <w:t xml:space="preserve">Étape 6 — Connexion SSH depuis le poste d’administration</w:t>
      </w:r>
    </w:p>
    <w:p>
      <w:pPr>
        <w:spacing w:after="120"/>
      </w:pPr>
      <w:r>
        <w:t xml:space="preserve">Le SF302-08PP n’accepte que des algorithmes de chiffrement anciens ; le client OpenSSH récent doit donc les réautoriser explicitement.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0F1B3D" w:val="clear"/>
            <w:tcMar>
              <w:top w:type="dxa" w:w="150"/>
              <w:left w:type="dxa" w:w="200"/>
              <w:bottom w:type="dxa" w:w="150"/>
              <w:right w:type="dxa" w:w="160"/>
            </w:tcMar>
          </w:tcPr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ssh -oKexAlgorithms=+diffie-hellman-group1-sha1 \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-oHostKeyAlgorithms=+ssh-rsa \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-c aes128-ctr -oMACs=hmac-sha1 \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cisco@192.168.1.253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# alias permanent dans ~/.ssh/config :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Host switch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HostName 192.168.1.253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User cisco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KexAlgorithms +diffie-hellman-group1-sha1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HostKeyAlgorithms +ssh-rsa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Ciphers aes128-ctr</w:t>
            </w:r>
          </w:p>
          <w:p>
            <w:pPr>
              <w:spacing w:after="0" w:line="248"/>
            </w:pPr>
            <w:r>
              <w:rPr>
                <w:rFonts w:ascii="Consolas" w:cs="Consolas" w:eastAsia="Consolas" w:hAnsi="Consolas"/>
                <w:color w:val="D6E2FF"/>
                <w:sz w:val="18"/>
                <w:szCs w:val="18"/>
              </w:rPr>
              <w:t xml:space="preserve">    MACs hmac-sha1</w:t>
            </w:r>
          </w:p>
        </w:tc>
      </w:tr>
    </w:tbl>
    <w:p>
      <w:pPr>
        <w:pStyle w:val="Heading1"/>
      </w:pPr>
      <w:r>
        <w:t xml:space="preserve">5. Vérifications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show interfaces status — état et mode des ports (access VLAN 1).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show ip interface — adresse 192.168.1.253 active sur l’interface VLAN 1.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Ping vers 192.168.1.253 depuis le poste d’administration.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Connexion SSH (alias « switch ») fonctionnelle depuis le poste.</w:t>
      </w:r>
    </w:p>
    <w:p>
      <w:pPr>
        <w:pStyle w:val="Heading1"/>
      </w:pPr>
      <w:r>
        <w:t xml:space="preserve">6. Segmentation VLAN visée (perspective)</w:t>
      </w:r>
    </w:p>
    <w:p>
      <w:pPr>
        <w:spacing w:after="120"/>
      </w:pPr>
      <w:r>
        <w:t xml:space="preserve">La configuration ci-dessus met en service le commutateur et son administration. La segmentation en VLAN constitue l’étape suivante de l’architecture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4260"/>
        <w:gridCol w:w="4000"/>
      </w:tblGrid>
      <w:tr>
        <w:tc>
          <w:tcPr>
            <w:tcW w:type="dxa" w:w="11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VLAN</w:t>
            </w:r>
          </w:p>
        </w:tc>
        <w:tc>
          <w:tcPr>
            <w:tcW w:type="dxa" w:w="42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Rôle</w:t>
            </w:r>
          </w:p>
        </w:tc>
        <w:tc>
          <w:tcPr>
            <w:tcW w:type="dxa" w:w="40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1E2761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Adressage</w:t>
            </w:r>
          </w:p>
        </w:tc>
      </w:tr>
      <w:tr>
        <w:tc>
          <w:tcPr>
            <w:tcW w:type="dxa" w:w="11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1</w:t>
            </w:r>
          </w:p>
        </w:tc>
        <w:tc>
          <w:tcPr>
            <w:tcW w:type="dxa" w:w="42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Administration / management</w:t>
            </w:r>
          </w:p>
        </w:tc>
        <w:tc>
          <w:tcPr>
            <w:tcW w:type="dxa" w:w="40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192.168.1.0/24</w:t>
            </w:r>
          </w:p>
        </w:tc>
      </w:tr>
      <w:tr>
        <w:tc>
          <w:tcPr>
            <w:tcW w:type="dxa" w:w="11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10</w:t>
            </w:r>
          </w:p>
        </w:tc>
        <w:tc>
          <w:tcPr>
            <w:tcW w:type="dxa" w:w="42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Sécurité</w:t>
            </w:r>
          </w:p>
        </w:tc>
        <w:tc>
          <w:tcPr>
            <w:tcW w:type="dxa" w:w="40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segment dédié</w:t>
            </w:r>
          </w:p>
        </w:tc>
      </w:tr>
      <w:tr>
        <w:tc>
          <w:tcPr>
            <w:tcW w:type="dxa" w:w="11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20</w:t>
            </w:r>
          </w:p>
        </w:tc>
        <w:tc>
          <w:tcPr>
            <w:tcW w:type="dxa" w:w="42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Observabilité</w:t>
            </w:r>
          </w:p>
        </w:tc>
        <w:tc>
          <w:tcPr>
            <w:tcW w:type="dxa" w:w="40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segment dédié</w:t>
            </w:r>
          </w:p>
        </w:tc>
      </w:tr>
      <w:tr>
        <w:tc>
          <w:tcPr>
            <w:tcW w:type="dxa" w:w="11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30</w:t>
            </w:r>
          </w:p>
        </w:tc>
        <w:tc>
          <w:tcPr>
            <w:tcW w:type="dxa" w:w="42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DMZ</w:t>
            </w:r>
          </w:p>
        </w:tc>
        <w:tc>
          <w:tcPr>
            <w:tcW w:type="dxa" w:w="40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segment dédié</w:t>
            </w:r>
          </w:p>
        </w:tc>
      </w:tr>
      <w:tr>
        <w:tc>
          <w:tcPr>
            <w:tcW w:type="dxa" w:w="11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150</w:t>
            </w:r>
          </w:p>
        </w:tc>
        <w:tc>
          <w:tcPr>
            <w:tcW w:type="dxa" w:w="42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Démonstration / test</w:t>
            </w:r>
          </w:p>
        </w:tc>
        <w:tc>
          <w:tcPr>
            <w:tcW w:type="dxa" w:w="40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segment dédié</w:t>
            </w:r>
          </w:p>
        </w:tc>
      </w:tr>
      <w:tr>
        <w:tc>
          <w:tcPr>
            <w:tcW w:type="dxa" w:w="11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300</w:t>
            </w:r>
          </w:p>
        </w:tc>
        <w:tc>
          <w:tcPr>
            <w:tcW w:type="dxa" w:w="426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Serveurs</w:t>
            </w:r>
          </w:p>
        </w:tc>
        <w:tc>
          <w:tcPr>
            <w:tcW w:type="dxa" w:w="4000"/>
            <w:tcBorders>
              <w:top w:val="single" w:color="C9D3E8" w:sz="1"/>
              <w:left w:val="single" w:color="C9D3E8" w:sz="1"/>
              <w:bottom w:val="single" w:color="C9D3E8" w:sz="1"/>
              <w:right w:val="single" w:color="C9D3E8" w:sz="1"/>
            </w:tcBorders>
            <w:shd w:fill="EAF0FB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172.16.0.0/17</w:t>
            </w:r>
          </w:p>
        </w:tc>
      </w:tr>
    </w:tbl>
    <w:p>
      <w:pPr>
        <w:spacing w:after="120"/>
      </w:pPr>
      <w:r>
        <w:rPr>
          <w:i/>
          <w:iCs/>
          <w:color w:val="5B6478"/>
        </w:rPr>
        <w:t xml:space="preserve">Le trafic des VLAN transite en trunk 802.1Q sur le port relié à Proxmox (pont VLAN-aware) ; le routage inter-VLAN et le NAT de sortie sont assurés par le routeur de périmètre pfSense.</w:t>
      </w:r>
    </w:p>
    <w:p>
      <w:pPr>
        <w:pStyle w:val="Heading1"/>
      </w:pPr>
      <w:r>
        <w:t xml:space="preserve">7. Compétences BTS SIO SISR mobilisées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Concevoir une solution d’infrastructure réseau : plan de raccordement et architecture VLAN visée.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Installer, tester et déployer une solution d’infrastructure réseau : réinitialisation, configuration des ports, adresse de management, activation SSH, sauvegarde.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Exploiter, dépanner et superviser : diagnostic du trunk instable, choix des algorithmes SSH, vérifications.</w:t>
      </w:r>
    </w:p>
    <w:p>
      <w:pPr>
        <w:spacing w:after="120"/>
      </w:pPr>
      <w:r>
        <w:rPr>
          <w:i/>
          <w:iCs/>
          <w:color w:val="1E2761"/>
        </w:rPr>
        <w:t xml:space="preserve">Grappes du tableau de synthèse : « Gérer le patrimoine informatique » et « Mettre à disposition des utilisateurs un service informatique ».</w:t>
      </w:r>
    </w:p>
    <w:sectPr>
      <w:headerReference w:type="default" r:id="rId7"/>
      <w:footerReference w:type="default" r:id="rId8"/>
      <w:pgSz w:w="12240" w:h="15840" w:orient="portrait"/>
      <w:pgMar w:top="1280" w:right="1440" w:bottom="12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478"/>
        <w:sz w:val="16"/>
        <w:szCs w:val="16"/>
      </w:rPr>
      <w:t xml:space="preserve">BTS SIO SISR — Réalisation en centre de formation — page </w:t>
    </w:r>
    <w:r>
      <w:rPr>
        <w:color w:val="5B64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B6478"/>
        <w:sz w:val="16"/>
        <w:szCs w:val="16"/>
      </w:rPr>
      <w:t xml:space="preserve">Procédure — Commutateur Cisco SF302-08PP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Arial" w:cs="Arial" w:eastAsia="Arial" w:hAnsi="Arial"/>
      <w:b/>
      <w:bCs/>
      <w:color w:val="1E2761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0E7B5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155c563e4eea901d077b588923164a8e6a8efee.undefined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2026-06-21T16:54:30.354Z</dcterms:created>
  <dcterms:modified xsi:type="dcterms:W3CDTF">2026-06-21T16:54:30.367Z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